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15" w:rsidRPr="00911B15" w:rsidRDefault="00911B15" w:rsidP="00911B15">
      <w:pPr>
        <w:shd w:val="clear" w:color="auto" w:fill="FFFFFF"/>
        <w:spacing w:before="100" w:beforeAutospacing="1" w:after="100" w:afterAutospacing="1" w:line="237" w:lineRule="atLeast"/>
        <w:ind w:left="1440" w:right="1740"/>
        <w:jc w:val="center"/>
        <w:rPr>
          <w:rFonts w:ascii="Lucida Sans Unicode" w:eastAsia="Times New Roman" w:hAnsi="Lucida Sans Unicode" w:cs="Lucida Sans Unicode"/>
          <w:b/>
          <w:bCs/>
          <w:color w:val="000000"/>
          <w:sz w:val="21"/>
          <w:szCs w:val="21"/>
        </w:rPr>
      </w:pPr>
      <w:bookmarkStart w:id="0" w:name="_GoBack"/>
      <w:bookmarkEnd w:id="0"/>
      <w:r w:rsidRPr="00911B15">
        <w:rPr>
          <w:rFonts w:ascii="Lucida Sans Unicode" w:eastAsia="Times New Roman" w:hAnsi="Lucida Sans Unicode" w:cs="Lucida Sans Unicode"/>
          <w:b/>
          <w:bCs/>
          <w:color w:val="000000"/>
          <w:sz w:val="21"/>
          <w:szCs w:val="21"/>
        </w:rPr>
        <w:t>USCOA,2 No. 20</w:t>
      </w:r>
      <w:r w:rsidRPr="00911B15">
        <w:rPr>
          <w:rFonts w:ascii="Lucida Sans Unicode" w:eastAsia="Times New Roman" w:hAnsi="Lucida Sans Unicode" w:cs="Lucida Sans Unicode"/>
          <w:b/>
          <w:bCs/>
          <w:color w:val="000000"/>
          <w:sz w:val="21"/>
          <w:szCs w:val="21"/>
        </w:rPr>
        <w:br/>
        <w:t>Friends of Van Cortlandt Park, Parks Council, Inc., Norwood Community Action, Linda Burger, and Fay Muir,</w:t>
      </w:r>
      <w:r w:rsidRPr="00911B15">
        <w:rPr>
          <w:rFonts w:ascii="Lucida Sans Unicode" w:eastAsia="Times New Roman" w:hAnsi="Lucida Sans Unicode" w:cs="Lucida Sans Unicode"/>
          <w:b/>
          <w:bCs/>
          <w:color w:val="000000"/>
          <w:sz w:val="21"/>
          <w:szCs w:val="21"/>
        </w:rPr>
        <w:br/>
        <w:t xml:space="preserve">Appellants, State of New York, Intervenor-Appellant, United States of America, Plaintiff, Barbara </w:t>
      </w:r>
      <w:proofErr w:type="spellStart"/>
      <w:r w:rsidRPr="00911B15">
        <w:rPr>
          <w:rFonts w:ascii="Lucida Sans Unicode" w:eastAsia="Times New Roman" w:hAnsi="Lucida Sans Unicode" w:cs="Lucida Sans Unicode"/>
          <w:b/>
          <w:bCs/>
          <w:color w:val="000000"/>
          <w:sz w:val="21"/>
          <w:szCs w:val="21"/>
        </w:rPr>
        <w:t>DeBuono</w:t>
      </w:r>
      <w:proofErr w:type="spellEnd"/>
      <w:r w:rsidRPr="00911B15">
        <w:rPr>
          <w:rFonts w:ascii="Lucida Sans Unicode" w:eastAsia="Times New Roman" w:hAnsi="Lucida Sans Unicode" w:cs="Lucida Sans Unicode"/>
          <w:b/>
          <w:bCs/>
          <w:color w:val="000000"/>
          <w:sz w:val="21"/>
          <w:szCs w:val="21"/>
        </w:rPr>
        <w:t>, M.D., as Commissioner of the New York State Department of Health, Intervenor,</w:t>
      </w:r>
      <w:r w:rsidRPr="00911B15">
        <w:rPr>
          <w:rFonts w:ascii="Lucida Sans Unicode" w:eastAsia="Times New Roman" w:hAnsi="Lucida Sans Unicode" w:cs="Lucida Sans Unicode"/>
          <w:b/>
          <w:bCs/>
          <w:color w:val="000000"/>
          <w:sz w:val="21"/>
          <w:szCs w:val="21"/>
        </w:rPr>
        <w:br/>
        <w:t>v. </w:t>
      </w:r>
      <w:r w:rsidRPr="00911B15">
        <w:rPr>
          <w:rFonts w:ascii="Lucida Sans Unicode" w:eastAsia="Times New Roman" w:hAnsi="Lucida Sans Unicode" w:cs="Lucida Sans Unicode"/>
          <w:b/>
          <w:bCs/>
          <w:color w:val="000000"/>
          <w:sz w:val="21"/>
          <w:szCs w:val="21"/>
        </w:rPr>
        <w:br/>
        <w:t>City of New York, New York City Department of Environmental Protection, New York City Planning Commission, New York City Council, New York City Department of Parks and Recreation, Rudolph W. Giuliani, Joel A. Miele, Sr. and Henry J. Stern, Department of Citywide Administrative Services,</w:t>
      </w:r>
      <w:r w:rsidRPr="00911B15">
        <w:rPr>
          <w:rFonts w:ascii="Lucida Sans Unicode" w:eastAsia="Times New Roman" w:hAnsi="Lucida Sans Unicode" w:cs="Lucida Sans Unicode"/>
          <w:b/>
          <w:bCs/>
          <w:color w:val="000000"/>
          <w:sz w:val="21"/>
          <w:szCs w:val="21"/>
        </w:rPr>
        <w:br/>
        <w:t>Respondents.</w:t>
      </w:r>
    </w:p>
    <w:p w:rsidR="00911B15" w:rsidRPr="00911B15" w:rsidRDefault="0073528B" w:rsidP="00911B15">
      <w:pPr>
        <w:shd w:val="clear" w:color="auto" w:fill="FFFFFF"/>
        <w:spacing w:after="0" w:line="237"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color w:val="000000"/>
          <w:sz w:val="21"/>
          <w:szCs w:val="21"/>
        </w:rPr>
        <w:pict>
          <v:rect id="_x0000_i1025" style="width:96pt;height:1.5pt" o:hrpct="0" o:hralign="center" o:hrstd="t" o:hr="t" fillcolor="#a0a0a0" stroked="f"/>
        </w:pict>
      </w:r>
    </w:p>
    <w:p w:rsidR="00911B15" w:rsidRPr="00911B15" w:rsidRDefault="00911B15" w:rsidP="00911B15">
      <w:pPr>
        <w:shd w:val="clear" w:color="auto" w:fill="FFFFFF"/>
        <w:spacing w:before="100" w:beforeAutospacing="1" w:after="0" w:line="237" w:lineRule="atLeast"/>
        <w:ind w:left="1440" w:right="1740"/>
        <w:jc w:val="center"/>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2001 NY Int. 3</w:t>
      </w:r>
    </w:p>
    <w:p w:rsidR="00911B15" w:rsidRPr="00911B15" w:rsidRDefault="00911B15" w:rsidP="00911B15">
      <w:pPr>
        <w:shd w:val="clear" w:color="auto" w:fill="FFFFFF"/>
        <w:spacing w:before="100" w:beforeAutospacing="1" w:after="100" w:afterAutospacing="1" w:line="237" w:lineRule="atLeast"/>
        <w:ind w:left="1440" w:right="1740"/>
        <w:jc w:val="center"/>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February 8, 2001</w:t>
      </w:r>
    </w:p>
    <w:p w:rsidR="00911B15" w:rsidRPr="00911B15" w:rsidRDefault="00911B15" w:rsidP="00911B15">
      <w:pPr>
        <w:pBdr>
          <w:top w:val="single" w:sz="6" w:space="0" w:color="000000"/>
          <w:bottom w:val="single" w:sz="6" w:space="0" w:color="000000"/>
        </w:pBdr>
        <w:shd w:val="clear" w:color="auto" w:fill="FFFFFF"/>
        <w:spacing w:before="100" w:beforeAutospacing="1" w:after="100" w:afterAutospacing="1" w:line="237" w:lineRule="atLeast"/>
        <w:ind w:left="1440" w:right="1740"/>
        <w:jc w:val="center"/>
        <w:rPr>
          <w:rFonts w:ascii="Lucida Sans Unicode" w:eastAsia="Times New Roman" w:hAnsi="Lucida Sans Unicode" w:cs="Lucida Sans Unicode"/>
          <w:i/>
          <w:iCs/>
          <w:color w:val="000000"/>
          <w:sz w:val="21"/>
          <w:szCs w:val="21"/>
        </w:rPr>
      </w:pPr>
      <w:r w:rsidRPr="00911B15">
        <w:rPr>
          <w:rFonts w:ascii="Lucida Sans Unicode" w:eastAsia="Times New Roman" w:hAnsi="Lucida Sans Unicode" w:cs="Lucida Sans Unicode"/>
          <w:i/>
          <w:iCs/>
          <w:color w:val="000000"/>
          <w:sz w:val="21"/>
          <w:szCs w:val="21"/>
        </w:rPr>
        <w:t>This opinion is uncorrected and subject to revision before publication in the New York Reports.</w:t>
      </w:r>
    </w:p>
    <w:p w:rsidR="00911B15" w:rsidRPr="00911B15" w:rsidRDefault="00911B15" w:rsidP="00911B15">
      <w:pPr>
        <w:shd w:val="clear" w:color="auto" w:fill="FFFFFF"/>
        <w:spacing w:before="100" w:beforeAutospacing="1" w:after="100" w:afterAutospacing="1" w:line="237" w:lineRule="atLeast"/>
        <w:ind w:left="1440" w:right="174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Gordon Johnson, for intervenor-appellant.</w:t>
      </w:r>
      <w:r w:rsidRPr="00911B15">
        <w:rPr>
          <w:rFonts w:ascii="Lucida Sans Unicode" w:eastAsia="Times New Roman" w:hAnsi="Lucida Sans Unicode" w:cs="Lucida Sans Unicode"/>
          <w:color w:val="000000"/>
          <w:sz w:val="21"/>
          <w:szCs w:val="21"/>
        </w:rPr>
        <w:br/>
        <w:t>Howard B. Epstein, for appellants Friends &amp; Parks Council.</w:t>
      </w:r>
      <w:r w:rsidRPr="00911B15">
        <w:rPr>
          <w:rFonts w:ascii="Lucida Sans Unicode" w:eastAsia="Times New Roman" w:hAnsi="Lucida Sans Unicode" w:cs="Lucida Sans Unicode"/>
          <w:color w:val="000000"/>
          <w:sz w:val="21"/>
          <w:szCs w:val="21"/>
        </w:rPr>
        <w:br/>
        <w:t>Jack L. Lester, for appellants Norwood, Burger &amp; Muir.</w:t>
      </w:r>
      <w:r w:rsidRPr="00911B15">
        <w:rPr>
          <w:rFonts w:ascii="Lucida Sans Unicode" w:eastAsia="Times New Roman" w:hAnsi="Lucida Sans Unicode" w:cs="Lucida Sans Unicode"/>
          <w:color w:val="000000"/>
          <w:sz w:val="21"/>
          <w:szCs w:val="21"/>
        </w:rPr>
        <w:br/>
        <w:t>Ronald Sternberg, for respondents.</w:t>
      </w:r>
      <w:r w:rsidRPr="00911B15">
        <w:rPr>
          <w:rFonts w:ascii="Lucida Sans Unicode" w:eastAsia="Times New Roman" w:hAnsi="Lucida Sans Unicode" w:cs="Lucida Sans Unicode"/>
          <w:color w:val="000000"/>
          <w:sz w:val="21"/>
          <w:szCs w:val="21"/>
        </w:rPr>
        <w:br/>
        <w:t xml:space="preserve">New York State Conference of Mayors and Municipal </w:t>
      </w:r>
      <w:proofErr w:type="spellStart"/>
      <w:proofErr w:type="gramStart"/>
      <w:r w:rsidRPr="00911B15">
        <w:rPr>
          <w:rFonts w:ascii="Lucida Sans Unicode" w:eastAsia="Times New Roman" w:hAnsi="Lucida Sans Unicode" w:cs="Lucida Sans Unicode"/>
          <w:color w:val="000000"/>
          <w:sz w:val="21"/>
          <w:szCs w:val="21"/>
        </w:rPr>
        <w:t>Officials,</w:t>
      </w:r>
      <w:r w:rsidRPr="00911B15">
        <w:rPr>
          <w:rFonts w:ascii="Lucida Sans Unicode" w:eastAsia="Times New Roman" w:hAnsi="Lucida Sans Unicode" w:cs="Lucida Sans Unicode"/>
          <w:i/>
          <w:iCs/>
          <w:color w:val="000000"/>
          <w:sz w:val="21"/>
          <w:szCs w:val="21"/>
        </w:rPr>
        <w:t>amicus</w:t>
      </w:r>
      <w:proofErr w:type="spellEnd"/>
      <w:proofErr w:type="gramEnd"/>
      <w:r w:rsidRPr="00911B15">
        <w:rPr>
          <w:rFonts w:ascii="Lucida Sans Unicode" w:eastAsia="Times New Roman" w:hAnsi="Lucida Sans Unicode" w:cs="Lucida Sans Unicode"/>
          <w:i/>
          <w:iCs/>
          <w:color w:val="000000"/>
          <w:sz w:val="21"/>
          <w:szCs w:val="21"/>
        </w:rPr>
        <w:t xml:space="preserve"> </w:t>
      </w:r>
      <w:proofErr w:type="spellStart"/>
      <w:r w:rsidRPr="00911B15">
        <w:rPr>
          <w:rFonts w:ascii="Lucida Sans Unicode" w:eastAsia="Times New Roman" w:hAnsi="Lucida Sans Unicode" w:cs="Lucida Sans Unicode"/>
          <w:i/>
          <w:iCs/>
          <w:color w:val="000000"/>
          <w:sz w:val="21"/>
          <w:szCs w:val="21"/>
        </w:rPr>
        <w:t>curiæ</w:t>
      </w:r>
      <w:proofErr w:type="spellEnd"/>
      <w:r w:rsidRPr="00911B15">
        <w:rPr>
          <w:rFonts w:ascii="Lucida Sans Unicode" w:eastAsia="Times New Roman" w:hAnsi="Lucida Sans Unicode" w:cs="Lucida Sans Unicode"/>
          <w:color w:val="000000"/>
          <w:sz w:val="21"/>
          <w:szCs w:val="21"/>
        </w:rPr>
        <w:t>.</w:t>
      </w:r>
    </w:p>
    <w:p w:rsidR="00911B15" w:rsidRPr="00911B15" w:rsidRDefault="0073528B" w:rsidP="00911B15">
      <w:pPr>
        <w:shd w:val="clear" w:color="auto" w:fill="FFFFFF"/>
        <w:spacing w:after="0" w:line="237"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color w:val="000000"/>
          <w:sz w:val="21"/>
          <w:szCs w:val="21"/>
        </w:rPr>
        <w:pict>
          <v:rect id="_x0000_i1026" style="width:336pt;height:1.5pt" o:hrpct="0" o:hralign="center" o:hrstd="t" o:hr="t" fillcolor="#a0a0a0" stroked="f"/>
        </w:pict>
      </w:r>
    </w:p>
    <w:p w:rsidR="00911B15" w:rsidRPr="00911B15" w:rsidRDefault="00911B15" w:rsidP="00911B15">
      <w:pPr>
        <w:shd w:val="clear" w:color="auto" w:fill="FFFFFF"/>
        <w:spacing w:before="100" w:beforeAutospacing="1" w:after="100" w:afterAutospacing="1" w:line="237" w:lineRule="atLeast"/>
        <w:ind w:right="1740"/>
        <w:rPr>
          <w:rFonts w:ascii="Lucida Sans Unicode" w:eastAsia="Times New Roman" w:hAnsi="Lucida Sans Unicode" w:cs="Lucida Sans Unicode"/>
          <w:b/>
          <w:bCs/>
          <w:color w:val="000000"/>
          <w:sz w:val="21"/>
          <w:szCs w:val="21"/>
        </w:rPr>
      </w:pPr>
      <w:r w:rsidRPr="00911B15">
        <w:rPr>
          <w:rFonts w:ascii="Lucida Sans Unicode" w:eastAsia="Times New Roman" w:hAnsi="Lucida Sans Unicode" w:cs="Lucida Sans Unicode"/>
          <w:b/>
          <w:bCs/>
          <w:color w:val="000000"/>
          <w:sz w:val="21"/>
          <w:szCs w:val="21"/>
        </w:rPr>
        <w:t>KAYE, CHIEF JUDGE:</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 xml:space="preserve">The Croton Watershed--a series of interconnected reservoirs and lakes located primarily in Westchester, </w:t>
      </w:r>
      <w:proofErr w:type="spellStart"/>
      <w:r w:rsidRPr="00911B15">
        <w:rPr>
          <w:rFonts w:ascii="Lucida Sans Unicode" w:eastAsia="Times New Roman" w:hAnsi="Lucida Sans Unicode" w:cs="Lucida Sans Unicode"/>
          <w:color w:val="000000"/>
          <w:sz w:val="21"/>
          <w:szCs w:val="21"/>
        </w:rPr>
        <w:t>Dutchess</w:t>
      </w:r>
      <w:proofErr w:type="spellEnd"/>
      <w:r w:rsidRPr="00911B15">
        <w:rPr>
          <w:rFonts w:ascii="Lucida Sans Unicode" w:eastAsia="Times New Roman" w:hAnsi="Lucida Sans Unicode" w:cs="Lucida Sans Unicode"/>
          <w:color w:val="000000"/>
          <w:sz w:val="21"/>
          <w:szCs w:val="21"/>
        </w:rPr>
        <w:t xml:space="preserve"> and Putnam counties--is one of New York City's three principal drinking water sources, supplying between 10 and 30 percent of the City's requirements. In 1992, after preparing a report concluding that filtration would be necessary to ensure the safety of water from the Croton Watershed, the City entered into a stipulation with the New York State Department of Health, acknowledging that State and Federal law required it to build a filtration plant. The City agreed to complete design of a water treatment plant by July 1995, and complete construction by July 1999.</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lastRenderedPageBreak/>
        <w:t>In 1993, the United States Environmental Protection Agency determined that the Surface Water Treatment Rule (</w:t>
      </w:r>
      <w:hyperlink r:id="rId5" w:history="1">
        <w:r w:rsidRPr="00911B15">
          <w:rPr>
            <w:rFonts w:ascii="Lucida Sans Unicode" w:eastAsia="Times New Roman" w:hAnsi="Lucida Sans Unicode" w:cs="Lucida Sans Unicode"/>
            <w:color w:val="005C72"/>
            <w:sz w:val="21"/>
            <w:szCs w:val="21"/>
            <w:u w:val="single"/>
          </w:rPr>
          <w:t>40 CFR 141.70</w:t>
        </w:r>
      </w:hyperlink>
      <w:r w:rsidRPr="00911B15">
        <w:rPr>
          <w:rFonts w:ascii="Lucida Sans Unicode" w:eastAsia="Times New Roman" w:hAnsi="Lucida Sans Unicode" w:cs="Lucida Sans Unicode"/>
          <w:color w:val="000000"/>
          <w:sz w:val="21"/>
          <w:szCs w:val="21"/>
        </w:rPr>
        <w:t>-141.75) required the City to filter and disinfect its Croton water supply. Without challenging the EPA's determination, the City began designing a water treatment plant. Impatient with the City's lack of progress, in 1997 the Federal government brought suit in the District Court for the Eastern District of New York against the City and its Department of Environmental Protection for violation of Federal law. The State intervened as a plaintiff, alleging noncompliance with the State Sanitary Code.</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Recognizing that the public interest would be best served by resolving the litigation, the parties, in 1998, executed a consent decree requiring filtration and disinfection of the Croton water. The decree establishes 26 "milestones," or deadlines, for stages of the water treatment plant, including a final Environmental Impact Statement and approvals under the City's Uniform Land Use and Review Procedure by July 31, 1999; construction completion by September 1, 2006; and operation by March 1, 2007. Milestone 14 provides that by July 31, 1999 "in the event that use of the selected site for the [plant] requires State legislation, the City shall request state legislation and home rule message from the City Council." Milestone 15 further specifies that any such legislation must be obtained by February 1, 2000. Failure to comply, under the consent decree, subjects the City to substantial penalties.</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As designed, the water treatment plant is to be a 473,000 square foot industrial facility covering 23 acres, with a raw water pumping station, finished water pumping station and tunnel linking the plant to a distribution system near another reservoir. It will operate around the clock, seven days a week, filtering 290 million gallons of water and producing up to 61 tons of "dewatered sludge cake" daily. Once the plant is operational, the Croton water will be transported there for treatment, fluoridation, chlorination and distribution.</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After considering several locations, in December 1998 the City announced that its preferred site was the Mosholu Golf Course in Van Cortlandt Park, the City's third largest park, dedicated as parkland by an act of the Legislature in 1884 (</w:t>
      </w:r>
      <w:r w:rsidRPr="00911B15">
        <w:rPr>
          <w:rFonts w:ascii="Lucida Sans Unicode" w:eastAsia="Times New Roman" w:hAnsi="Lucida Sans Unicode" w:cs="Lucida Sans Unicode"/>
          <w:i/>
          <w:iCs/>
          <w:color w:val="000000"/>
          <w:sz w:val="21"/>
          <w:szCs w:val="21"/>
        </w:rPr>
        <w:t>see</w:t>
      </w:r>
      <w:r w:rsidRPr="00911B15">
        <w:rPr>
          <w:rFonts w:ascii="Lucida Sans Unicode" w:eastAsia="Times New Roman" w:hAnsi="Lucida Sans Unicode" w:cs="Lucida Sans Unicode"/>
          <w:color w:val="000000"/>
          <w:sz w:val="21"/>
          <w:szCs w:val="21"/>
        </w:rPr>
        <w:t xml:space="preserve">, L 1884, </w:t>
      </w:r>
      <w:proofErr w:type="spellStart"/>
      <w:r w:rsidRPr="00911B15">
        <w:rPr>
          <w:rFonts w:ascii="Lucida Sans Unicode" w:eastAsia="Times New Roman" w:hAnsi="Lucida Sans Unicode" w:cs="Lucida Sans Unicode"/>
          <w:color w:val="000000"/>
          <w:sz w:val="21"/>
          <w:szCs w:val="21"/>
        </w:rPr>
        <w:t>ch</w:t>
      </w:r>
      <w:proofErr w:type="spellEnd"/>
      <w:r w:rsidRPr="00911B15">
        <w:rPr>
          <w:rFonts w:ascii="Lucida Sans Unicode" w:eastAsia="Times New Roman" w:hAnsi="Lucida Sans Unicode" w:cs="Lucida Sans Unicode"/>
          <w:color w:val="000000"/>
          <w:sz w:val="21"/>
          <w:szCs w:val="21"/>
        </w:rPr>
        <w:t xml:space="preserve"> 522).</w:t>
      </w:r>
      <w:bookmarkStart w:id="1" w:name="FNSRC-1"/>
      <w:r w:rsidRPr="00911B15">
        <w:rPr>
          <w:rFonts w:ascii="Lucida Sans Unicode" w:eastAsia="Times New Roman" w:hAnsi="Lucida Sans Unicode" w:cs="Lucida Sans Unicode"/>
          <w:color w:val="000000"/>
          <w:sz w:val="21"/>
          <w:szCs w:val="21"/>
        </w:rPr>
        <w:fldChar w:fldCharType="begin"/>
      </w:r>
      <w:r w:rsidRPr="00911B15">
        <w:rPr>
          <w:rFonts w:ascii="Lucida Sans Unicode" w:eastAsia="Times New Roman" w:hAnsi="Lucida Sans Unicode" w:cs="Lucida Sans Unicode"/>
          <w:color w:val="000000"/>
          <w:sz w:val="21"/>
          <w:szCs w:val="21"/>
        </w:rPr>
        <w:instrText xml:space="preserve"> HYPERLINK "http://www.law.cornell.edu/nyctap/I01_0003.htm" \l "1" </w:instrText>
      </w:r>
      <w:r w:rsidRPr="00911B15">
        <w:rPr>
          <w:rFonts w:ascii="Lucida Sans Unicode" w:eastAsia="Times New Roman" w:hAnsi="Lucida Sans Unicode" w:cs="Lucida Sans Unicode"/>
          <w:color w:val="000000"/>
          <w:sz w:val="21"/>
          <w:szCs w:val="21"/>
        </w:rPr>
        <w:fldChar w:fldCharType="separate"/>
      </w:r>
      <w:r w:rsidRPr="00911B15">
        <w:rPr>
          <w:rFonts w:ascii="Lucida Sans Unicode" w:eastAsia="Times New Roman" w:hAnsi="Lucida Sans Unicode" w:cs="Lucida Sans Unicode"/>
          <w:color w:val="005C72"/>
          <w:sz w:val="16"/>
          <w:szCs w:val="16"/>
          <w:u w:val="single"/>
          <w:vertAlign w:val="superscript"/>
        </w:rPr>
        <w:t>[1]</w:t>
      </w:r>
      <w:r w:rsidRPr="00911B15">
        <w:rPr>
          <w:rFonts w:ascii="Lucida Sans Unicode" w:eastAsia="Times New Roman" w:hAnsi="Lucida Sans Unicode" w:cs="Lucida Sans Unicode"/>
          <w:color w:val="000000"/>
          <w:sz w:val="21"/>
          <w:szCs w:val="21"/>
        </w:rPr>
        <w:fldChar w:fldCharType="end"/>
      </w:r>
      <w:bookmarkEnd w:id="1"/>
      <w:r w:rsidRPr="00911B15">
        <w:rPr>
          <w:rFonts w:ascii="Lucida Sans Unicode" w:eastAsia="Times New Roman" w:hAnsi="Lucida Sans Unicode" w:cs="Lucida Sans Unicode"/>
          <w:color w:val="000000"/>
          <w:sz w:val="21"/>
          <w:szCs w:val="21"/>
        </w:rPr>
        <w:t> The Mosholu Golf Course is a year-round, nine- hole course and driving range regularly used by the public (in 1997, for example, approximately 33,000 rounds of golf were played there) as well as by schools and youth programs. It is the only City golf course directly accessible by subway.</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According to the Environmental Impact Statement, construction at the Mosholu site is scheduled to last more than five years, during which time 28 acres of parkland--including the golf course and driving range--will be closed to the public, and will become an active construction site. Construction will require demolition of the clubhouse, roads and parking areas, which will later be restored. The driving range, however, will be rebuilt on the roof of the plant, above a layer of dirt. The Environmental Impact Statement further discloses that hundreds of trees and associated vegetation rare to New York City--whose "loss would represent a potential significant adverse impact"-- are threatened by the construction, and a million cubic yards of soil and rock will be removed from the park. During peak construction, more than a thousand workers will be at the site, and hundreds of vehicles will deliver construction materials and remove soil.</w:t>
      </w:r>
    </w:p>
    <w:p w:rsidR="00911B15" w:rsidRPr="00911B15" w:rsidRDefault="00911B15" w:rsidP="00911B15">
      <w:pPr>
        <w:shd w:val="clear" w:color="auto" w:fill="FFFFFF"/>
        <w:tabs>
          <w:tab w:val="left" w:pos="10080"/>
        </w:tabs>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highlight w:val="yellow"/>
        </w:rPr>
        <w:lastRenderedPageBreak/>
        <w:t>The plant will, moreover, change the gradient of the park. Though the plant is to be built underground in the sense that it will be below "finished grade," its roof will be between five and 30 feet above existing ground elevation. Additionally, vents and air intake louvers placed in berms surrounding the facility will extend above finished grade.</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In January 1999, shortly after site selection, the State Attorney General advised the City that, in his view, legislative approval was necessary before parkland could be used for this project. Citizen groups opposed the project, arguing it was not authorized by the State Legislature; 33 State legislators similarly urged that the City did not have authority to build the plant in Van Cortlandt Park without legislative permission.</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On July 21, 1999, the City Council approved the application for plant construction at the Mosholu site. By letter dated July 30, 1999, the Attorney General reiterated that use of the proposed site without first obtaining Legislative approval would violate State law, advising:</w:t>
      </w:r>
    </w:p>
    <w:p w:rsidR="00911B15" w:rsidRPr="00911B15" w:rsidRDefault="00911B15" w:rsidP="00911B15">
      <w:pPr>
        <w:shd w:val="clear" w:color="auto" w:fill="FFFFFF"/>
        <w:spacing w:beforeAutospacing="1" w:after="100" w:afterAutospacing="1" w:line="237" w:lineRule="atLeast"/>
        <w:ind w:left="1440" w:right="153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"construction of the Plant at the selected site in Van Cortlandt Park, a process which will include the closing of the golf course for six years, requires state legislation for the reasons we have discussed with counsel for the City beginning in January, 1999. We expect that the City will comply with [milestones 14 and 15] and request legislation and a home rule message from the City Council on or before July 31, 1999."</w:t>
      </w:r>
    </w:p>
    <w:p w:rsidR="00911B15" w:rsidRPr="00911B15" w:rsidRDefault="00911B15" w:rsidP="00911B15">
      <w:pPr>
        <w:shd w:val="clear" w:color="auto" w:fill="FFFFFF"/>
        <w:spacing w:before="100" w:beforeAutospacing="1" w:after="100" w:afterAutospacing="1" w:line="237" w:lineRule="atLeast"/>
        <w:ind w:right="174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The City has not sought legislative approval for the project.</w:t>
      </w:r>
    </w:p>
    <w:p w:rsidR="00911B15" w:rsidRPr="00911B15" w:rsidRDefault="00911B15" w:rsidP="00911B15">
      <w:pPr>
        <w:shd w:val="clear" w:color="auto" w:fill="FFFFFF"/>
        <w:tabs>
          <w:tab w:val="left" w:pos="9810"/>
          <w:tab w:val="left" w:pos="9990"/>
          <w:tab w:val="left" w:pos="10080"/>
        </w:tabs>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Pursuant to the consent decree dispute resolution provision, the State sought relief in the District Court, claiming the City violated its commitment by failing to seek legislative approval for construction and operation of the water treatment plant. Concerned citizens and community groups, similarly, commenced two lawsuits in State Supreme Court--</w:t>
      </w:r>
      <w:r w:rsidRPr="00911B15">
        <w:rPr>
          <w:rFonts w:ascii="Lucida Sans Unicode" w:eastAsia="Times New Roman" w:hAnsi="Lucida Sans Unicode" w:cs="Lucida Sans Unicode"/>
          <w:i/>
          <w:iCs/>
          <w:color w:val="000000"/>
          <w:sz w:val="21"/>
          <w:szCs w:val="21"/>
        </w:rPr>
        <w:t>Friends of Van Cortlandt Park, et al. v City of New York</w:t>
      </w:r>
      <w:r w:rsidRPr="00911B15">
        <w:rPr>
          <w:rFonts w:ascii="Lucida Sans Unicode" w:eastAsia="Times New Roman" w:hAnsi="Lucida Sans Unicode" w:cs="Lucida Sans Unicode"/>
          <w:color w:val="000000"/>
          <w:sz w:val="21"/>
          <w:szCs w:val="21"/>
        </w:rPr>
        <w:t> and </w:t>
      </w:r>
      <w:r w:rsidRPr="00911B15">
        <w:rPr>
          <w:rFonts w:ascii="Lucida Sans Unicode" w:eastAsia="Times New Roman" w:hAnsi="Lucida Sans Unicode" w:cs="Lucida Sans Unicode"/>
          <w:i/>
          <w:iCs/>
          <w:color w:val="000000"/>
          <w:sz w:val="21"/>
          <w:szCs w:val="21"/>
        </w:rPr>
        <w:t>Norwood Community Action, et al. v Department of Environmental Protection, et al.</w:t>
      </w:r>
      <w:r w:rsidRPr="00911B15">
        <w:rPr>
          <w:rFonts w:ascii="Lucida Sans Unicode" w:eastAsia="Times New Roman" w:hAnsi="Lucida Sans Unicode" w:cs="Lucida Sans Unicode"/>
          <w:color w:val="000000"/>
          <w:sz w:val="21"/>
          <w:szCs w:val="21"/>
        </w:rPr>
        <w:t>--seeking, among other things, to enjoin development and construction of the water treatment plant in Van Cortlandt Park on the ground that the City impermissibly sought to convert a considerable area of parkland from public use without an act of the State Legislature. Without objection, the two citizen suits were removed to the Eastern District, which had continuing jurisdiction under the consent decree. All of the parties sought summary judgment.</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The District Court granted the City's motions, concluding that legislative approval was unnecessary. As the court explained, there being "no transfer of an interest in land to another entity * * * [and] no diminution of parkland available for public use after the plant is built, underground use of the parkland [was] not an alienation in the sense of diversion of parkland for non-park purposes" (96 F Supp 2d 195, 204).</w:t>
      </w:r>
    </w:p>
    <w:p w:rsidR="00911B15" w:rsidRPr="00911B15" w:rsidRDefault="00911B15" w:rsidP="00911B15">
      <w:pPr>
        <w:shd w:val="clear" w:color="auto" w:fill="FFFFFF"/>
        <w:spacing w:before="100" w:beforeAutospacing="1" w:after="100" w:afterAutospacing="1" w:line="237" w:lineRule="atLeast"/>
        <w:ind w:right="9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lastRenderedPageBreak/>
        <w:t>Plaintiffs' appeals were consolidated. On June 30, 2000, plaintiffs State of New York and Friends of Van Cortlandt Park moved to certify to this Court the question whether State legislative approval is required for the proposed use of the Mosholu site. Mindful on the one hand of the desirability that this State law issue be resolved by the State Court of Appeals, and on the other hand of the burden certification of a time- sensitive issue would impose on us, on November 15, 2000 the Second Circuit granted plaintiffs' motion, so long as this Court concluded it could expeditiously resolve the issue (232 F3d 324). On November 21, 2000 we accepted certification (95 2 916), and now answer in the affirmative the following question: "Does any aspect of the proposed [water treatment plant] require state</w:t>
      </w:r>
      <w:r w:rsidR="00D617AE">
        <w:rPr>
          <w:rFonts w:ascii="Lucida Sans Unicode" w:eastAsia="Times New Roman" w:hAnsi="Lucida Sans Unicode" w:cs="Lucida Sans Unicode"/>
          <w:color w:val="000000"/>
          <w:sz w:val="21"/>
          <w:szCs w:val="21"/>
        </w:rPr>
        <w:t xml:space="preserve"> </w:t>
      </w:r>
      <w:r w:rsidRPr="00911B15">
        <w:rPr>
          <w:rFonts w:ascii="Lucida Sans Unicode" w:eastAsia="Times New Roman" w:hAnsi="Lucida Sans Unicode" w:cs="Lucida Sans Unicode"/>
          <w:color w:val="000000"/>
          <w:sz w:val="21"/>
          <w:szCs w:val="21"/>
        </w:rPr>
        <w:t>legislative approval?"</w:t>
      </w:r>
      <w:bookmarkStart w:id="2" w:name="FNSRC-2"/>
      <w:r w:rsidRPr="00911B15">
        <w:rPr>
          <w:rFonts w:ascii="Lucida Sans Unicode" w:eastAsia="Times New Roman" w:hAnsi="Lucida Sans Unicode" w:cs="Lucida Sans Unicode"/>
          <w:color w:val="000000"/>
          <w:sz w:val="21"/>
          <w:szCs w:val="21"/>
        </w:rPr>
        <w:fldChar w:fldCharType="begin"/>
      </w:r>
      <w:r w:rsidRPr="00911B15">
        <w:rPr>
          <w:rFonts w:ascii="Lucida Sans Unicode" w:eastAsia="Times New Roman" w:hAnsi="Lucida Sans Unicode" w:cs="Lucida Sans Unicode"/>
          <w:color w:val="000000"/>
          <w:sz w:val="21"/>
          <w:szCs w:val="21"/>
        </w:rPr>
        <w:instrText xml:space="preserve"> HYPERLINK "http://www.law.cornell.edu/nyctap/I01_0003.htm" \l "2" </w:instrText>
      </w:r>
      <w:r w:rsidRPr="00911B15">
        <w:rPr>
          <w:rFonts w:ascii="Lucida Sans Unicode" w:eastAsia="Times New Roman" w:hAnsi="Lucida Sans Unicode" w:cs="Lucida Sans Unicode"/>
          <w:color w:val="000000"/>
          <w:sz w:val="21"/>
          <w:szCs w:val="21"/>
        </w:rPr>
        <w:fldChar w:fldCharType="separate"/>
      </w:r>
      <w:r w:rsidRPr="00911B15">
        <w:rPr>
          <w:rFonts w:ascii="Lucida Sans Unicode" w:eastAsia="Times New Roman" w:hAnsi="Lucida Sans Unicode" w:cs="Lucida Sans Unicode"/>
          <w:color w:val="005C72"/>
          <w:sz w:val="16"/>
          <w:szCs w:val="16"/>
          <w:u w:val="single"/>
          <w:vertAlign w:val="superscript"/>
        </w:rPr>
        <w:t>[2]</w:t>
      </w:r>
      <w:r w:rsidRPr="00911B15">
        <w:rPr>
          <w:rFonts w:ascii="Lucida Sans Unicode" w:eastAsia="Times New Roman" w:hAnsi="Lucida Sans Unicode" w:cs="Lucida Sans Unicode"/>
          <w:color w:val="000000"/>
          <w:sz w:val="21"/>
          <w:szCs w:val="21"/>
        </w:rPr>
        <w:fldChar w:fldCharType="end"/>
      </w:r>
      <w:bookmarkEnd w:id="2"/>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 xml:space="preserve">We begin analysis with two points of agreement by the parties: that this water treatment plant is a non-park use, and </w:t>
      </w:r>
      <w:proofErr w:type="spellStart"/>
      <w:r w:rsidRPr="00911B15">
        <w:rPr>
          <w:rFonts w:ascii="Lucida Sans Unicode" w:eastAsia="Times New Roman" w:hAnsi="Lucida Sans Unicode" w:cs="Lucida Sans Unicode"/>
          <w:color w:val="000000"/>
          <w:sz w:val="21"/>
          <w:szCs w:val="21"/>
        </w:rPr>
        <w:t>that</w:t>
      </w:r>
      <w:r w:rsidRPr="00911B15">
        <w:rPr>
          <w:rFonts w:ascii="Lucida Sans Unicode" w:eastAsia="Times New Roman" w:hAnsi="Lucida Sans Unicode" w:cs="Lucida Sans Unicode"/>
          <w:i/>
          <w:iCs/>
          <w:color w:val="000000"/>
          <w:sz w:val="21"/>
          <w:szCs w:val="21"/>
        </w:rPr>
        <w:t>Williams</w:t>
      </w:r>
      <w:proofErr w:type="spellEnd"/>
      <w:r w:rsidRPr="00911B15">
        <w:rPr>
          <w:rFonts w:ascii="Lucida Sans Unicode" w:eastAsia="Times New Roman" w:hAnsi="Lucida Sans Unicode" w:cs="Lucida Sans Unicode"/>
          <w:i/>
          <w:iCs/>
          <w:color w:val="000000"/>
          <w:sz w:val="21"/>
          <w:szCs w:val="21"/>
        </w:rPr>
        <w:t xml:space="preserve"> v Gallatin</w:t>
      </w:r>
      <w:r w:rsidRPr="00911B15">
        <w:rPr>
          <w:rFonts w:ascii="Lucida Sans Unicode" w:eastAsia="Times New Roman" w:hAnsi="Lucida Sans Unicode" w:cs="Lucida Sans Unicode"/>
          <w:color w:val="000000"/>
          <w:sz w:val="21"/>
          <w:szCs w:val="21"/>
        </w:rPr>
        <w:t> (229 NY 248) is controlling precedent.</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In </w:t>
      </w:r>
      <w:r w:rsidRPr="00911B15">
        <w:rPr>
          <w:rFonts w:ascii="Lucida Sans Unicode" w:eastAsia="Times New Roman" w:hAnsi="Lucida Sans Unicode" w:cs="Lucida Sans Unicode"/>
          <w:i/>
          <w:iCs/>
          <w:color w:val="000000"/>
          <w:sz w:val="21"/>
          <w:szCs w:val="21"/>
        </w:rPr>
        <w:t>Williams</w:t>
      </w:r>
      <w:r w:rsidRPr="00911B15">
        <w:rPr>
          <w:rFonts w:ascii="Lucida Sans Unicode" w:eastAsia="Times New Roman" w:hAnsi="Lucida Sans Unicode" w:cs="Lucida Sans Unicode"/>
          <w:color w:val="000000"/>
          <w:sz w:val="21"/>
          <w:szCs w:val="21"/>
        </w:rPr>
        <w:t>, a taxpayer sought to enjoin the New York City Commissioner of Parks from leasing the Central Park Arsenal Building to the Safety Institute of America, arguing the transaction was "foreign to park purposes." The lease was for a 10-year term, cancellable if the City needed the property for park use. In prohibiting the lease, this Court explained that a park is a recreational pleasure area set aside to promote public health and welfare, and as such:</w:t>
      </w:r>
    </w:p>
    <w:p w:rsidR="00911B15" w:rsidRPr="00911B15" w:rsidRDefault="00911B15" w:rsidP="00911B15">
      <w:pPr>
        <w:shd w:val="clear" w:color="auto" w:fill="FFFFFF"/>
        <w:tabs>
          <w:tab w:val="left" w:pos="8190"/>
        </w:tabs>
        <w:spacing w:beforeAutospacing="1" w:after="100" w:afterAutospacing="1" w:line="237" w:lineRule="atLeast"/>
        <w:ind w:left="1800" w:right="189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"no objects, however worthy, * * * which have no connection with park purposes, should be permitted to encroach upon [parkland] without legislative authority plainly conferred.</w:t>
      </w:r>
    </w:p>
    <w:p w:rsidR="00911B15" w:rsidRPr="00911B15" w:rsidRDefault="00911B15" w:rsidP="00911B15">
      <w:pPr>
        <w:shd w:val="clear" w:color="auto" w:fill="FFFFFF"/>
        <w:spacing w:before="100" w:beforeAutospacing="1" w:after="100" w:afterAutospacing="1" w:line="237" w:lineRule="atLeast"/>
        <w:ind w:left="1800" w:right="3218"/>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 ... ]</w:t>
      </w:r>
    </w:p>
    <w:p w:rsidR="00911B15" w:rsidRPr="00911B15" w:rsidRDefault="00911B15" w:rsidP="00911B15">
      <w:pPr>
        <w:shd w:val="clear" w:color="auto" w:fill="FFFFFF"/>
        <w:spacing w:before="100" w:beforeAutospacing="1" w:after="100" w:afterAutospacing="1" w:line="237" w:lineRule="atLeast"/>
        <w:ind w:left="1800" w:right="171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"The legislative will is that Central Park should be kept open as a public park ought to be and not be turned over by the commissioner of parks to other uses. It must be kept free from intrusion of every kind which would interfere in any degree with its complete use for this end" (</w:t>
      </w:r>
      <w:r w:rsidRPr="00911B15">
        <w:rPr>
          <w:rFonts w:ascii="Lucida Sans Unicode" w:eastAsia="Times New Roman" w:hAnsi="Lucida Sans Unicode" w:cs="Lucida Sans Unicode"/>
          <w:i/>
          <w:iCs/>
          <w:color w:val="000000"/>
          <w:sz w:val="21"/>
          <w:szCs w:val="21"/>
        </w:rPr>
        <w:t>id.</w:t>
      </w:r>
      <w:r w:rsidRPr="00911B15">
        <w:rPr>
          <w:rFonts w:ascii="Lucida Sans Unicode" w:eastAsia="Times New Roman" w:hAnsi="Lucida Sans Unicode" w:cs="Lucida Sans Unicode"/>
          <w:color w:val="000000"/>
          <w:sz w:val="21"/>
          <w:szCs w:val="21"/>
        </w:rPr>
        <w:t>, at 253-254).</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In the 80 years since </w:t>
      </w:r>
      <w:r w:rsidRPr="00911B15">
        <w:rPr>
          <w:rFonts w:ascii="Lucida Sans Unicode" w:eastAsia="Times New Roman" w:hAnsi="Lucida Sans Unicode" w:cs="Lucida Sans Unicode"/>
          <w:i/>
          <w:iCs/>
          <w:color w:val="000000"/>
          <w:sz w:val="21"/>
          <w:szCs w:val="21"/>
        </w:rPr>
        <w:t>Williams</w:t>
      </w:r>
      <w:r w:rsidRPr="00911B15">
        <w:rPr>
          <w:rFonts w:ascii="Lucida Sans Unicode" w:eastAsia="Times New Roman" w:hAnsi="Lucida Sans Unicode" w:cs="Lucida Sans Unicode"/>
          <w:color w:val="000000"/>
          <w:sz w:val="21"/>
          <w:szCs w:val="21"/>
        </w:rPr>
        <w:t>, our courts have time and again reaffirmed the principle that parkland is impressed with a public trust,</w:t>
      </w:r>
      <w:bookmarkStart w:id="3" w:name="FNSRC-3"/>
      <w:r w:rsidRPr="00911B15">
        <w:rPr>
          <w:rFonts w:ascii="Lucida Sans Unicode" w:eastAsia="Times New Roman" w:hAnsi="Lucida Sans Unicode" w:cs="Lucida Sans Unicode"/>
          <w:color w:val="000000"/>
          <w:sz w:val="21"/>
          <w:szCs w:val="21"/>
        </w:rPr>
        <w:fldChar w:fldCharType="begin"/>
      </w:r>
      <w:r w:rsidRPr="00911B15">
        <w:rPr>
          <w:rFonts w:ascii="Lucida Sans Unicode" w:eastAsia="Times New Roman" w:hAnsi="Lucida Sans Unicode" w:cs="Lucida Sans Unicode"/>
          <w:color w:val="000000"/>
          <w:sz w:val="21"/>
          <w:szCs w:val="21"/>
        </w:rPr>
        <w:instrText xml:space="preserve"> HYPERLINK "http://www.law.cornell.edu/nyctap/I01_0003.htm" \l "3" </w:instrText>
      </w:r>
      <w:r w:rsidRPr="00911B15">
        <w:rPr>
          <w:rFonts w:ascii="Lucida Sans Unicode" w:eastAsia="Times New Roman" w:hAnsi="Lucida Sans Unicode" w:cs="Lucida Sans Unicode"/>
          <w:color w:val="000000"/>
          <w:sz w:val="21"/>
          <w:szCs w:val="21"/>
        </w:rPr>
        <w:fldChar w:fldCharType="separate"/>
      </w:r>
      <w:r w:rsidRPr="00911B15">
        <w:rPr>
          <w:rFonts w:ascii="Lucida Sans Unicode" w:eastAsia="Times New Roman" w:hAnsi="Lucida Sans Unicode" w:cs="Lucida Sans Unicode"/>
          <w:color w:val="005C72"/>
          <w:sz w:val="16"/>
          <w:szCs w:val="16"/>
          <w:u w:val="single"/>
          <w:vertAlign w:val="superscript"/>
        </w:rPr>
        <w:t>[3]</w:t>
      </w:r>
      <w:r w:rsidRPr="00911B15">
        <w:rPr>
          <w:rFonts w:ascii="Lucida Sans Unicode" w:eastAsia="Times New Roman" w:hAnsi="Lucida Sans Unicode" w:cs="Lucida Sans Unicode"/>
          <w:color w:val="000000"/>
          <w:sz w:val="21"/>
          <w:szCs w:val="21"/>
        </w:rPr>
        <w:fldChar w:fldCharType="end"/>
      </w:r>
      <w:bookmarkEnd w:id="3"/>
      <w:r w:rsidRPr="00911B15">
        <w:rPr>
          <w:rFonts w:ascii="Lucida Sans Unicode" w:eastAsia="Times New Roman" w:hAnsi="Lucida Sans Unicode" w:cs="Lucida Sans Unicode"/>
          <w:color w:val="000000"/>
          <w:sz w:val="21"/>
          <w:szCs w:val="21"/>
        </w:rPr>
        <w:t> requiring legislative approval before it can be alienated or used for an extended period for non-park purposes (</w:t>
      </w:r>
      <w:proofErr w:type="spellStart"/>
      <w:r w:rsidRPr="00911B15">
        <w:rPr>
          <w:rFonts w:ascii="Lucida Sans Unicode" w:eastAsia="Times New Roman" w:hAnsi="Lucida Sans Unicode" w:cs="Lucida Sans Unicode"/>
          <w:i/>
          <w:iCs/>
          <w:color w:val="000000"/>
          <w:sz w:val="21"/>
          <w:szCs w:val="21"/>
        </w:rPr>
        <w:t>see</w:t>
      </w:r>
      <w:r w:rsidRPr="00911B15">
        <w:rPr>
          <w:rFonts w:ascii="Lucida Sans Unicode" w:eastAsia="Times New Roman" w:hAnsi="Lucida Sans Unicode" w:cs="Lucida Sans Unicode"/>
          <w:color w:val="000000"/>
          <w:sz w:val="21"/>
          <w:szCs w:val="21"/>
        </w:rPr>
        <w:t>,</w:t>
      </w:r>
      <w:r w:rsidRPr="00911B15">
        <w:rPr>
          <w:rFonts w:ascii="Lucida Sans Unicode" w:eastAsia="Times New Roman" w:hAnsi="Lucida Sans Unicode" w:cs="Lucida Sans Unicode"/>
          <w:i/>
          <w:iCs/>
          <w:color w:val="000000"/>
          <w:sz w:val="21"/>
          <w:szCs w:val="21"/>
        </w:rPr>
        <w:t>Miller</w:t>
      </w:r>
      <w:proofErr w:type="spellEnd"/>
      <w:r w:rsidRPr="00911B15">
        <w:rPr>
          <w:rFonts w:ascii="Lucida Sans Unicode" w:eastAsia="Times New Roman" w:hAnsi="Lucida Sans Unicode" w:cs="Lucida Sans Unicode"/>
          <w:i/>
          <w:iCs/>
          <w:color w:val="000000"/>
          <w:sz w:val="21"/>
          <w:szCs w:val="21"/>
        </w:rPr>
        <w:t xml:space="preserve"> v City of New York</w:t>
      </w:r>
      <w:r w:rsidRPr="00911B15">
        <w:rPr>
          <w:rFonts w:ascii="Lucida Sans Unicode" w:eastAsia="Times New Roman" w:hAnsi="Lucida Sans Unicode" w:cs="Lucida Sans Unicode"/>
          <w:color w:val="000000"/>
          <w:sz w:val="21"/>
          <w:szCs w:val="21"/>
        </w:rPr>
        <w:t>, , </w:t>
      </w:r>
      <w:hyperlink r:id="rId6" w:history="1">
        <w:r w:rsidRPr="00911B15">
          <w:rPr>
            <w:rFonts w:ascii="Lucida Sans Unicode" w:eastAsia="Times New Roman" w:hAnsi="Lucida Sans Unicode" w:cs="Lucida Sans Unicode"/>
            <w:color w:val="005C72"/>
            <w:sz w:val="21"/>
            <w:szCs w:val="21"/>
            <w:u w:val="single"/>
          </w:rPr>
          <w:t>15 NY2d 34</w:t>
        </w:r>
      </w:hyperlink>
      <w:r w:rsidRPr="00911B15">
        <w:rPr>
          <w:rFonts w:ascii="Lucida Sans Unicode" w:eastAsia="Times New Roman" w:hAnsi="Lucida Sans Unicode" w:cs="Lucida Sans Unicode"/>
          <w:color w:val="000000"/>
          <w:sz w:val="21"/>
          <w:szCs w:val="21"/>
        </w:rPr>
        <w:t>, 37 [20-year lease];</w:t>
      </w:r>
      <w:r w:rsidRPr="00911B15">
        <w:rPr>
          <w:rFonts w:ascii="Lucida Sans Unicode" w:eastAsia="Times New Roman" w:hAnsi="Lucida Sans Unicode" w:cs="Lucida Sans Unicode"/>
          <w:i/>
          <w:iCs/>
          <w:color w:val="000000"/>
          <w:sz w:val="21"/>
          <w:szCs w:val="21"/>
        </w:rPr>
        <w:t>Incorporated Village of Lloyd Harbor v Town of Huntington</w:t>
      </w:r>
      <w:r w:rsidRPr="00911B15">
        <w:rPr>
          <w:rFonts w:ascii="Lucida Sans Unicode" w:eastAsia="Times New Roman" w:hAnsi="Lucida Sans Unicode" w:cs="Lucida Sans Unicode"/>
          <w:color w:val="000000"/>
          <w:sz w:val="21"/>
          <w:szCs w:val="21"/>
        </w:rPr>
        <w:t>, , </w:t>
      </w:r>
      <w:hyperlink r:id="rId7" w:history="1">
        <w:r w:rsidRPr="00911B15">
          <w:rPr>
            <w:rFonts w:ascii="Lucida Sans Unicode" w:eastAsia="Times New Roman" w:hAnsi="Lucida Sans Unicode" w:cs="Lucida Sans Unicode"/>
            <w:color w:val="005C72"/>
            <w:sz w:val="21"/>
            <w:szCs w:val="21"/>
            <w:u w:val="single"/>
          </w:rPr>
          <w:t>4 NY2d 182</w:t>
        </w:r>
      </w:hyperlink>
      <w:r w:rsidRPr="00911B15">
        <w:rPr>
          <w:rFonts w:ascii="Lucida Sans Unicode" w:eastAsia="Times New Roman" w:hAnsi="Lucida Sans Unicode" w:cs="Lucida Sans Unicode"/>
          <w:color w:val="000000"/>
          <w:sz w:val="21"/>
          <w:szCs w:val="21"/>
        </w:rPr>
        <w:t>, 190; </w:t>
      </w:r>
      <w:r w:rsidRPr="00911B15">
        <w:rPr>
          <w:rFonts w:ascii="Lucida Sans Unicode" w:eastAsia="Times New Roman" w:hAnsi="Lucida Sans Unicode" w:cs="Lucida Sans Unicode"/>
          <w:i/>
          <w:iCs/>
          <w:color w:val="000000"/>
          <w:sz w:val="21"/>
          <w:szCs w:val="21"/>
        </w:rPr>
        <w:t xml:space="preserve">Ackerman v </w:t>
      </w:r>
      <w:proofErr w:type="spellStart"/>
      <w:r w:rsidRPr="00911B15">
        <w:rPr>
          <w:rFonts w:ascii="Lucida Sans Unicode" w:eastAsia="Times New Roman" w:hAnsi="Lucida Sans Unicode" w:cs="Lucida Sans Unicode"/>
          <w:i/>
          <w:iCs/>
          <w:color w:val="000000"/>
          <w:sz w:val="21"/>
          <w:szCs w:val="21"/>
        </w:rPr>
        <w:t>Steisel</w:t>
      </w:r>
      <w:proofErr w:type="spellEnd"/>
      <w:r w:rsidRPr="00911B15">
        <w:rPr>
          <w:rFonts w:ascii="Lucida Sans Unicode" w:eastAsia="Times New Roman" w:hAnsi="Lucida Sans Unicode" w:cs="Lucida Sans Unicode"/>
          <w:color w:val="000000"/>
          <w:sz w:val="21"/>
          <w:szCs w:val="21"/>
        </w:rPr>
        <w:t>, 104 AD2d 940, 941 [2d Dept] [storage of sanitation vehicles and equipment], </w:t>
      </w:r>
      <w:proofErr w:type="spellStart"/>
      <w:r w:rsidRPr="00911B15">
        <w:rPr>
          <w:rFonts w:ascii="Lucida Sans Unicode" w:eastAsia="Times New Roman" w:hAnsi="Lucida Sans Unicode" w:cs="Lucida Sans Unicode"/>
          <w:i/>
          <w:iCs/>
          <w:color w:val="000000"/>
          <w:sz w:val="21"/>
          <w:szCs w:val="21"/>
        </w:rPr>
        <w:t>affd</w:t>
      </w:r>
      <w:proofErr w:type="spellEnd"/>
      <w:r w:rsidRPr="00911B15">
        <w:rPr>
          <w:rFonts w:ascii="Lucida Sans Unicode" w:eastAsia="Times New Roman" w:hAnsi="Lucida Sans Unicode" w:cs="Lucida Sans Unicode"/>
          <w:color w:val="000000"/>
          <w:sz w:val="21"/>
          <w:szCs w:val="21"/>
        </w:rPr>
        <w:t> , </w:t>
      </w:r>
      <w:hyperlink r:id="rId8" w:history="1">
        <w:r w:rsidRPr="00911B15">
          <w:rPr>
            <w:rFonts w:ascii="Lucida Sans Unicode" w:eastAsia="Times New Roman" w:hAnsi="Lucida Sans Unicode" w:cs="Lucida Sans Unicode"/>
            <w:color w:val="005C72"/>
            <w:sz w:val="21"/>
            <w:szCs w:val="21"/>
            <w:u w:val="single"/>
          </w:rPr>
          <w:t>66 NY2d 833</w:t>
        </w:r>
      </w:hyperlink>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Stephenson v County of Monroe</w:t>
      </w:r>
      <w:r w:rsidRPr="00911B15">
        <w:rPr>
          <w:rFonts w:ascii="Lucida Sans Unicode" w:eastAsia="Times New Roman" w:hAnsi="Lucida Sans Unicode" w:cs="Lucida Sans Unicode"/>
          <w:color w:val="000000"/>
          <w:sz w:val="21"/>
          <w:szCs w:val="21"/>
        </w:rPr>
        <w:t>, 43 AD2d 897 [4th Dept]; </w:t>
      </w:r>
      <w:r w:rsidRPr="00911B15">
        <w:rPr>
          <w:rFonts w:ascii="Lucida Sans Unicode" w:eastAsia="Times New Roman" w:hAnsi="Lucida Sans Unicode" w:cs="Lucida Sans Unicode"/>
          <w:i/>
          <w:iCs/>
          <w:color w:val="000000"/>
          <w:sz w:val="21"/>
          <w:szCs w:val="21"/>
        </w:rPr>
        <w:t>Aldrich v City of New York</w:t>
      </w:r>
      <w:r w:rsidRPr="00911B15">
        <w:rPr>
          <w:rFonts w:ascii="Lucida Sans Unicode" w:eastAsia="Times New Roman" w:hAnsi="Lucida Sans Unicode" w:cs="Lucida Sans Unicode"/>
          <w:color w:val="000000"/>
          <w:sz w:val="21"/>
          <w:szCs w:val="21"/>
        </w:rPr>
        <w:t xml:space="preserve">, 208 </w:t>
      </w:r>
      <w:proofErr w:type="spellStart"/>
      <w:r w:rsidRPr="00911B15">
        <w:rPr>
          <w:rFonts w:ascii="Lucida Sans Unicode" w:eastAsia="Times New Roman" w:hAnsi="Lucida Sans Unicode" w:cs="Lucida Sans Unicode"/>
          <w:color w:val="000000"/>
          <w:sz w:val="21"/>
          <w:szCs w:val="21"/>
        </w:rPr>
        <w:t>Misc</w:t>
      </w:r>
      <w:proofErr w:type="spellEnd"/>
      <w:r w:rsidRPr="00911B15">
        <w:rPr>
          <w:rFonts w:ascii="Lucida Sans Unicode" w:eastAsia="Times New Roman" w:hAnsi="Lucida Sans Unicode" w:cs="Lucida Sans Unicode"/>
          <w:color w:val="000000"/>
          <w:sz w:val="21"/>
          <w:szCs w:val="21"/>
        </w:rPr>
        <w:t xml:space="preserve"> 930, 939 [Sup Ct Queens County], </w:t>
      </w:r>
      <w:proofErr w:type="spellStart"/>
      <w:r w:rsidRPr="00911B15">
        <w:rPr>
          <w:rFonts w:ascii="Lucida Sans Unicode" w:eastAsia="Times New Roman" w:hAnsi="Lucida Sans Unicode" w:cs="Lucida Sans Unicode"/>
          <w:i/>
          <w:iCs/>
          <w:color w:val="000000"/>
          <w:sz w:val="21"/>
          <w:szCs w:val="21"/>
        </w:rPr>
        <w:t>affd</w:t>
      </w:r>
      <w:proofErr w:type="spellEnd"/>
      <w:r w:rsidRPr="00911B15">
        <w:rPr>
          <w:rFonts w:ascii="Lucida Sans Unicode" w:eastAsia="Times New Roman" w:hAnsi="Lucida Sans Unicode" w:cs="Lucida Sans Unicode"/>
          <w:color w:val="000000"/>
          <w:sz w:val="21"/>
          <w:szCs w:val="21"/>
        </w:rPr>
        <w:t> 2 AD2d 760 [2d Dept]; </w:t>
      </w:r>
      <w:r w:rsidRPr="00911B15">
        <w:rPr>
          <w:rFonts w:ascii="Lucida Sans Unicode" w:eastAsia="Times New Roman" w:hAnsi="Lucida Sans Unicode" w:cs="Lucida Sans Unicode"/>
          <w:i/>
          <w:iCs/>
          <w:color w:val="000000"/>
          <w:sz w:val="21"/>
          <w:szCs w:val="21"/>
        </w:rPr>
        <w:t>Matter of Central Parkway</w:t>
      </w:r>
      <w:r w:rsidRPr="00911B15">
        <w:rPr>
          <w:rFonts w:ascii="Lucida Sans Unicode" w:eastAsia="Times New Roman" w:hAnsi="Lucida Sans Unicode" w:cs="Lucida Sans Unicode"/>
          <w:color w:val="000000"/>
          <w:sz w:val="21"/>
          <w:szCs w:val="21"/>
        </w:rPr>
        <w:t xml:space="preserve">, 140 </w:t>
      </w:r>
      <w:proofErr w:type="spellStart"/>
      <w:r w:rsidRPr="00911B15">
        <w:rPr>
          <w:rFonts w:ascii="Lucida Sans Unicode" w:eastAsia="Times New Roman" w:hAnsi="Lucida Sans Unicode" w:cs="Lucida Sans Unicode"/>
          <w:color w:val="000000"/>
          <w:sz w:val="21"/>
          <w:szCs w:val="21"/>
        </w:rPr>
        <w:t>Misc</w:t>
      </w:r>
      <w:proofErr w:type="spellEnd"/>
      <w:r w:rsidRPr="00911B15">
        <w:rPr>
          <w:rFonts w:ascii="Lucida Sans Unicode" w:eastAsia="Times New Roman" w:hAnsi="Lucida Sans Unicode" w:cs="Lucida Sans Unicode"/>
          <w:color w:val="000000"/>
          <w:sz w:val="21"/>
          <w:szCs w:val="21"/>
        </w:rPr>
        <w:t xml:space="preserve"> 727, 729 [Sup Ct Schenectady County];</w:t>
      </w:r>
      <w:r w:rsidRPr="00911B15">
        <w:rPr>
          <w:rFonts w:ascii="Lucida Sans Unicode" w:eastAsia="Times New Roman" w:hAnsi="Lucida Sans Unicode" w:cs="Lucida Sans Unicode"/>
          <w:i/>
          <w:iCs/>
          <w:color w:val="000000"/>
          <w:sz w:val="21"/>
          <w:szCs w:val="21"/>
        </w:rPr>
        <w:t>contrast</w:t>
      </w:r>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795 Fifth Ave. Corp. v City of New York</w:t>
      </w:r>
      <w:r w:rsidRPr="00911B15">
        <w:rPr>
          <w:rFonts w:ascii="Lucida Sans Unicode" w:eastAsia="Times New Roman" w:hAnsi="Lucida Sans Unicode" w:cs="Lucida Sans Unicode"/>
          <w:color w:val="000000"/>
          <w:sz w:val="21"/>
          <w:szCs w:val="21"/>
        </w:rPr>
        <w:t>, , </w:t>
      </w:r>
      <w:hyperlink r:id="rId9" w:history="1">
        <w:r w:rsidRPr="00911B15">
          <w:rPr>
            <w:rFonts w:ascii="Lucida Sans Unicode" w:eastAsia="Times New Roman" w:hAnsi="Lucida Sans Unicode" w:cs="Lucida Sans Unicode"/>
            <w:color w:val="005C72"/>
            <w:sz w:val="21"/>
            <w:szCs w:val="21"/>
            <w:u w:val="single"/>
          </w:rPr>
          <w:t>15 NY2d 221</w:t>
        </w:r>
      </w:hyperlink>
      <w:r w:rsidRPr="00911B15">
        <w:rPr>
          <w:rFonts w:ascii="Lucida Sans Unicode" w:eastAsia="Times New Roman" w:hAnsi="Lucida Sans Unicode" w:cs="Lucida Sans Unicode"/>
          <w:color w:val="000000"/>
          <w:sz w:val="21"/>
          <w:szCs w:val="21"/>
        </w:rPr>
        <w:t>, 225 [Park Commissioner properly determined that a café and restaurant could be constructed in Central Park where the project furthered park purposes]).</w:t>
      </w:r>
    </w:p>
    <w:p w:rsidR="00911B15" w:rsidRPr="00911B15" w:rsidRDefault="00911B15" w:rsidP="00911B15">
      <w:pPr>
        <w:shd w:val="clear" w:color="auto" w:fill="FFFFFF"/>
        <w:tabs>
          <w:tab w:val="left" w:pos="9990"/>
        </w:tabs>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lastRenderedPageBreak/>
        <w:t>Where the parties disagree is as to application of these longstanding precedents to the present facts. The City argues that, even under </w:t>
      </w:r>
      <w:r w:rsidRPr="00911B15">
        <w:rPr>
          <w:rFonts w:ascii="Lucida Sans Unicode" w:eastAsia="Times New Roman" w:hAnsi="Lucida Sans Unicode" w:cs="Lucida Sans Unicode"/>
          <w:i/>
          <w:iCs/>
          <w:color w:val="000000"/>
          <w:sz w:val="21"/>
          <w:szCs w:val="21"/>
        </w:rPr>
        <w:t>Williams</w:t>
      </w:r>
      <w:r w:rsidRPr="00911B15">
        <w:rPr>
          <w:rFonts w:ascii="Lucida Sans Unicode" w:eastAsia="Times New Roman" w:hAnsi="Lucida Sans Unicode" w:cs="Lucida Sans Unicode"/>
          <w:color w:val="000000"/>
          <w:sz w:val="21"/>
          <w:szCs w:val="21"/>
        </w:rPr>
        <w:t>, legislative approval is not required, first, because there will be no alienation of parkland and second, because the plant will be substantially underground, with park surfaces fully restored, and therefore the proposed use is not inconsistent with park purposes. Both arguments lack merit.</w:t>
      </w:r>
    </w:p>
    <w:p w:rsidR="00911B15" w:rsidRPr="00911B15" w:rsidRDefault="00911B15" w:rsidP="00911B15">
      <w:pPr>
        <w:shd w:val="clear" w:color="auto" w:fill="FFFFFF"/>
        <w:tabs>
          <w:tab w:val="left" w:pos="9990"/>
        </w:tabs>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i/>
          <w:iCs/>
          <w:color w:val="000000"/>
          <w:sz w:val="21"/>
          <w:szCs w:val="21"/>
          <w:highlight w:val="yellow"/>
        </w:rPr>
        <w:t>Williams</w:t>
      </w:r>
      <w:r w:rsidRPr="00911B15">
        <w:rPr>
          <w:rFonts w:ascii="Lucida Sans Unicode" w:eastAsia="Times New Roman" w:hAnsi="Lucida Sans Unicode" w:cs="Lucida Sans Unicode"/>
          <w:color w:val="000000"/>
          <w:sz w:val="21"/>
          <w:szCs w:val="21"/>
          <w:highlight w:val="yellow"/>
        </w:rPr>
        <w:t> makes clear that legislative approval is required when there is a substantial intrusion on parkland for non-park purposes, regardless of whether there has been an outright conveyance of title and regardless of whether the parkland is ultimately to be restored.</w:t>
      </w:r>
      <w:r w:rsidRPr="00911B15">
        <w:rPr>
          <w:rFonts w:ascii="Lucida Sans Unicode" w:eastAsia="Times New Roman" w:hAnsi="Lucida Sans Unicode" w:cs="Lucida Sans Unicode"/>
          <w:color w:val="000000"/>
          <w:sz w:val="21"/>
          <w:szCs w:val="21"/>
        </w:rPr>
        <w:t xml:space="preserve"> Indeed, in </w:t>
      </w:r>
      <w:r w:rsidRPr="00911B15">
        <w:rPr>
          <w:rFonts w:ascii="Lucida Sans Unicode" w:eastAsia="Times New Roman" w:hAnsi="Lucida Sans Unicode" w:cs="Lucida Sans Unicode"/>
          <w:i/>
          <w:iCs/>
          <w:color w:val="000000"/>
          <w:sz w:val="21"/>
          <w:szCs w:val="21"/>
        </w:rPr>
        <w:t>Williams</w:t>
      </w:r>
      <w:r w:rsidRPr="00911B15">
        <w:rPr>
          <w:rFonts w:ascii="Lucida Sans Unicode" w:eastAsia="Times New Roman" w:hAnsi="Lucida Sans Unicode" w:cs="Lucida Sans Unicode"/>
          <w:color w:val="000000"/>
          <w:sz w:val="21"/>
          <w:szCs w:val="21"/>
        </w:rPr>
        <w:t> itself there was no divestiture of ownership--there was a 10-year lease cancellable by the City--and upon expiration of the lease the property could return to park use. Nonetheless, without legislative approval the lease was prohibited.</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i/>
          <w:iCs/>
          <w:color w:val="000000"/>
          <w:sz w:val="21"/>
          <w:szCs w:val="21"/>
        </w:rPr>
        <w:t>Bates v Holbrook</w:t>
      </w:r>
      <w:r w:rsidRPr="00911B15">
        <w:rPr>
          <w:rFonts w:ascii="Lucida Sans Unicode" w:eastAsia="Times New Roman" w:hAnsi="Lucida Sans Unicode" w:cs="Lucida Sans Unicode"/>
          <w:color w:val="000000"/>
          <w:sz w:val="21"/>
          <w:szCs w:val="21"/>
        </w:rPr>
        <w:t> (171 NY 460, 465-</w:t>
      </w:r>
      <w:proofErr w:type="gramStart"/>
      <w:r w:rsidRPr="00911B15">
        <w:rPr>
          <w:rFonts w:ascii="Lucida Sans Unicode" w:eastAsia="Times New Roman" w:hAnsi="Lucida Sans Unicode" w:cs="Lucida Sans Unicode"/>
          <w:color w:val="000000"/>
          <w:sz w:val="21"/>
          <w:szCs w:val="21"/>
        </w:rPr>
        <w:t>468)--</w:t>
      </w:r>
      <w:proofErr w:type="gramEnd"/>
      <w:r w:rsidRPr="00911B15">
        <w:rPr>
          <w:rFonts w:ascii="Lucida Sans Unicode" w:eastAsia="Times New Roman" w:hAnsi="Lucida Sans Unicode" w:cs="Lucida Sans Unicode"/>
          <w:color w:val="000000"/>
          <w:sz w:val="21"/>
          <w:szCs w:val="21"/>
        </w:rPr>
        <w:t xml:space="preserve">which </w:t>
      </w:r>
      <w:proofErr w:type="spellStart"/>
      <w:r w:rsidRPr="00911B15">
        <w:rPr>
          <w:rFonts w:ascii="Lucida Sans Unicode" w:eastAsia="Times New Roman" w:hAnsi="Lucida Sans Unicode" w:cs="Lucida Sans Unicode"/>
          <w:color w:val="000000"/>
          <w:sz w:val="21"/>
          <w:szCs w:val="21"/>
        </w:rPr>
        <w:t>predated</w:t>
      </w:r>
      <w:r w:rsidRPr="00911B15">
        <w:rPr>
          <w:rFonts w:ascii="Lucida Sans Unicode" w:eastAsia="Times New Roman" w:hAnsi="Lucida Sans Unicode" w:cs="Lucida Sans Unicode"/>
          <w:i/>
          <w:iCs/>
          <w:color w:val="000000"/>
          <w:sz w:val="21"/>
          <w:szCs w:val="21"/>
        </w:rPr>
        <w:t>Williams</w:t>
      </w:r>
      <w:proofErr w:type="spellEnd"/>
      <w:r w:rsidRPr="00911B15">
        <w:rPr>
          <w:rFonts w:ascii="Lucida Sans Unicode" w:eastAsia="Times New Roman" w:hAnsi="Lucida Sans Unicode" w:cs="Lucida Sans Unicode"/>
          <w:color w:val="000000"/>
          <w:sz w:val="21"/>
          <w:szCs w:val="21"/>
        </w:rPr>
        <w:t xml:space="preserve">--is also instructive. There, the City Department of Parks permitted construction of storage buildings on parkland in connection with a subway project. Because the Legislature allowed the Department to grant "temporary privileges" for use of park property to facilitate construction, defendants urged that the structures were authorized. </w:t>
      </w:r>
      <w:r w:rsidRPr="00911B15">
        <w:rPr>
          <w:rFonts w:ascii="Lucida Sans Unicode" w:eastAsia="Times New Roman" w:hAnsi="Lucida Sans Unicode" w:cs="Lucida Sans Unicode"/>
          <w:color w:val="000000"/>
          <w:sz w:val="21"/>
          <w:szCs w:val="21"/>
          <w:highlight w:val="yellow"/>
        </w:rPr>
        <w:t>This Court disagreed, concluding no "direct legislative authority" warranted invasion of the park. Structures could not be considered "temporary" when "authorized to remain until the completion of the work"</w:t>
      </w:r>
      <w:r w:rsidRPr="00911B15">
        <w:rPr>
          <w:rFonts w:ascii="Lucida Sans Unicode" w:eastAsia="Times New Roman" w:hAnsi="Lucida Sans Unicode" w:cs="Lucida Sans Unicode"/>
          <w:color w:val="000000"/>
          <w:sz w:val="21"/>
          <w:szCs w:val="21"/>
        </w:rPr>
        <w:t xml:space="preserve"> on a project that would take at least three years.</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Here, the public will be deprived of valued park uses for at least five years, as plant construction proceeds. While there may be "</w:t>
      </w:r>
      <w:r w:rsidRPr="00911B15">
        <w:rPr>
          <w:rFonts w:ascii="Lucida Sans Unicode" w:eastAsia="Times New Roman" w:hAnsi="Lucida Sans Unicode" w:cs="Lucida Sans Unicode"/>
          <w:i/>
          <w:iCs/>
          <w:color w:val="000000"/>
          <w:sz w:val="21"/>
          <w:szCs w:val="21"/>
        </w:rPr>
        <w:t>de minimis</w:t>
      </w:r>
      <w:r w:rsidRPr="00911B15">
        <w:rPr>
          <w:rFonts w:ascii="Lucida Sans Unicode" w:eastAsia="Times New Roman" w:hAnsi="Lucida Sans Unicode" w:cs="Lucida Sans Unicode"/>
          <w:color w:val="000000"/>
          <w:sz w:val="21"/>
          <w:szCs w:val="21"/>
        </w:rPr>
        <w:t>" exceptions from the public trust doctrine, the magnitude of the proposed project does not call upon us to draw such lines in this case.</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For much the same reason, we also need not resolve the interrelated question whether an underground installation that in no way intrudes on park use requires legislative approval. That an appreciable area of the park will be closed for more than five years, and that some future uses of the land will be inhibited by the presence of the underground structure, render that issue hypothetical. Those factors also set apart </w:t>
      </w:r>
      <w:r w:rsidRPr="00911B15">
        <w:rPr>
          <w:rFonts w:ascii="Lucida Sans Unicode" w:eastAsia="Times New Roman" w:hAnsi="Lucida Sans Unicode" w:cs="Lucida Sans Unicode"/>
          <w:i/>
          <w:iCs/>
          <w:color w:val="000000"/>
          <w:sz w:val="21"/>
          <w:szCs w:val="21"/>
        </w:rPr>
        <w:t>Wigand v City of New York</w:t>
      </w:r>
      <w:r w:rsidRPr="00911B15">
        <w:rPr>
          <w:rFonts w:ascii="Lucida Sans Unicode" w:eastAsia="Times New Roman" w:hAnsi="Lucida Sans Unicode" w:cs="Lucida Sans Unicode"/>
          <w:color w:val="000000"/>
          <w:sz w:val="21"/>
          <w:szCs w:val="21"/>
        </w:rPr>
        <w:t> (NYLJ, 9/25/67, at 21, col 5), a 1967 unreported Richmond County Supreme Court decision, on which the City and the District Court rely. In </w:t>
      </w:r>
      <w:r w:rsidRPr="00911B15">
        <w:rPr>
          <w:rFonts w:ascii="Lucida Sans Unicode" w:eastAsia="Times New Roman" w:hAnsi="Lucida Sans Unicode" w:cs="Lucida Sans Unicode"/>
          <w:i/>
          <w:iCs/>
          <w:color w:val="000000"/>
          <w:sz w:val="21"/>
          <w:szCs w:val="21"/>
        </w:rPr>
        <w:t>Wigand</w:t>
      </w:r>
      <w:r w:rsidRPr="00911B15">
        <w:rPr>
          <w:rFonts w:ascii="Lucida Sans Unicode" w:eastAsia="Times New Roman" w:hAnsi="Lucida Sans Unicode" w:cs="Lucida Sans Unicode"/>
          <w:color w:val="000000"/>
          <w:sz w:val="21"/>
          <w:szCs w:val="21"/>
        </w:rPr>
        <w:t>, the trial court authorized use of parkland to facilitate installation of two underground water tanks, after which the area was to be completely restored "with beautification greater than that which originally existed" and 27 acres of parkland added. While </w:t>
      </w:r>
      <w:r w:rsidRPr="00911B15">
        <w:rPr>
          <w:rFonts w:ascii="Lucida Sans Unicode" w:eastAsia="Times New Roman" w:hAnsi="Lucida Sans Unicode" w:cs="Lucida Sans Unicode"/>
          <w:i/>
          <w:iCs/>
          <w:color w:val="000000"/>
          <w:sz w:val="21"/>
          <w:szCs w:val="21"/>
        </w:rPr>
        <w:t>Wigand</w:t>
      </w:r>
      <w:r w:rsidRPr="00911B15">
        <w:rPr>
          <w:rFonts w:ascii="Lucida Sans Unicode" w:eastAsia="Times New Roman" w:hAnsi="Lucida Sans Unicode" w:cs="Lucida Sans Unicode"/>
          <w:color w:val="000000"/>
          <w:sz w:val="21"/>
          <w:szCs w:val="21"/>
        </w:rPr>
        <w:t> is distinguishable on several grounds, to the extent it is inconsistent with our decision today, it should not be followed.</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Though the water treatment plant plainly serves an important public purpose--indeed, even the State Attorney General believes it should be built at the site selected (</w:t>
      </w:r>
      <w:r w:rsidRPr="00911B15">
        <w:rPr>
          <w:rFonts w:ascii="Lucida Sans Unicode" w:eastAsia="Times New Roman" w:hAnsi="Lucida Sans Unicode" w:cs="Lucida Sans Unicode"/>
          <w:i/>
          <w:iCs/>
          <w:color w:val="000000"/>
          <w:sz w:val="21"/>
          <w:szCs w:val="21"/>
        </w:rPr>
        <w:t>see</w:t>
      </w:r>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United States v City of New York</w:t>
      </w:r>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supra</w:t>
      </w:r>
      <w:r w:rsidRPr="00911B15">
        <w:rPr>
          <w:rFonts w:ascii="Lucida Sans Unicode" w:eastAsia="Times New Roman" w:hAnsi="Lucida Sans Unicode" w:cs="Lucida Sans Unicode"/>
          <w:color w:val="000000"/>
          <w:sz w:val="21"/>
          <w:szCs w:val="21"/>
        </w:rPr>
        <w:t xml:space="preserve">, 96 F Supp 2d, at 203)--our law is well settled: dedicated park areas in New York are impressed with a public trust for the benefit of the people of the State. </w:t>
      </w:r>
      <w:r w:rsidRPr="00911B15">
        <w:rPr>
          <w:rFonts w:ascii="Lucida Sans Unicode" w:eastAsia="Times New Roman" w:hAnsi="Lucida Sans Unicode" w:cs="Lucida Sans Unicode"/>
          <w:color w:val="000000"/>
          <w:sz w:val="21"/>
          <w:szCs w:val="21"/>
          <w:highlight w:val="yellow"/>
        </w:rPr>
        <w:t>Their "use for other than park purposes, either for a period of years or permanently, requires the direct and specific approval of the State Legislature,</w:t>
      </w:r>
      <w:r w:rsidRPr="00911B15">
        <w:rPr>
          <w:rFonts w:ascii="Lucida Sans Unicode" w:eastAsia="Times New Roman" w:hAnsi="Lucida Sans Unicode" w:cs="Lucida Sans Unicode"/>
          <w:color w:val="000000"/>
          <w:sz w:val="21"/>
          <w:szCs w:val="21"/>
        </w:rPr>
        <w:t xml:space="preserve"> plainly conferred" (</w:t>
      </w:r>
      <w:r w:rsidRPr="00911B15">
        <w:rPr>
          <w:rFonts w:ascii="Lucida Sans Unicode" w:eastAsia="Times New Roman" w:hAnsi="Lucida Sans Unicode" w:cs="Lucida Sans Unicode"/>
          <w:i/>
          <w:iCs/>
          <w:color w:val="000000"/>
          <w:sz w:val="21"/>
          <w:szCs w:val="21"/>
        </w:rPr>
        <w:t xml:space="preserve">Ackerman v </w:t>
      </w:r>
      <w:proofErr w:type="spellStart"/>
      <w:r w:rsidRPr="00911B15">
        <w:rPr>
          <w:rFonts w:ascii="Lucida Sans Unicode" w:eastAsia="Times New Roman" w:hAnsi="Lucida Sans Unicode" w:cs="Lucida Sans Unicode"/>
          <w:i/>
          <w:iCs/>
          <w:color w:val="000000"/>
          <w:sz w:val="21"/>
          <w:szCs w:val="21"/>
        </w:rPr>
        <w:t>Steisel</w:t>
      </w:r>
      <w:proofErr w:type="spellEnd"/>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supra</w:t>
      </w:r>
      <w:r w:rsidRPr="00911B15">
        <w:rPr>
          <w:rFonts w:ascii="Lucida Sans Unicode" w:eastAsia="Times New Roman" w:hAnsi="Lucida Sans Unicode" w:cs="Lucida Sans Unicode"/>
          <w:color w:val="000000"/>
          <w:sz w:val="21"/>
          <w:szCs w:val="21"/>
        </w:rPr>
        <w:t xml:space="preserve">, 104 AD2d, at </w:t>
      </w:r>
      <w:r w:rsidRPr="00911B15">
        <w:rPr>
          <w:rFonts w:ascii="Lucida Sans Unicode" w:eastAsia="Times New Roman" w:hAnsi="Lucida Sans Unicode" w:cs="Lucida Sans Unicode"/>
          <w:color w:val="000000"/>
          <w:sz w:val="21"/>
          <w:szCs w:val="21"/>
        </w:rPr>
        <w:lastRenderedPageBreak/>
        <w:t>941, </w:t>
      </w:r>
      <w:proofErr w:type="spellStart"/>
      <w:r w:rsidRPr="00911B15">
        <w:rPr>
          <w:rFonts w:ascii="Lucida Sans Unicode" w:eastAsia="Times New Roman" w:hAnsi="Lucida Sans Unicode" w:cs="Lucida Sans Unicode"/>
          <w:i/>
          <w:iCs/>
          <w:color w:val="000000"/>
          <w:sz w:val="21"/>
          <w:szCs w:val="21"/>
        </w:rPr>
        <w:t>affd</w:t>
      </w:r>
      <w:proofErr w:type="spellEnd"/>
      <w:r w:rsidRPr="00911B15">
        <w:rPr>
          <w:rFonts w:ascii="Lucida Sans Unicode" w:eastAsia="Times New Roman" w:hAnsi="Lucida Sans Unicode" w:cs="Lucida Sans Unicode"/>
          <w:color w:val="000000"/>
          <w:sz w:val="21"/>
          <w:szCs w:val="21"/>
        </w:rPr>
        <w:t> , </w:t>
      </w:r>
      <w:hyperlink r:id="rId10" w:history="1">
        <w:r w:rsidRPr="00911B15">
          <w:rPr>
            <w:rFonts w:ascii="Lucida Sans Unicode" w:eastAsia="Times New Roman" w:hAnsi="Lucida Sans Unicode" w:cs="Lucida Sans Unicode"/>
            <w:color w:val="005C72"/>
            <w:sz w:val="21"/>
            <w:szCs w:val="21"/>
            <w:u w:val="single"/>
          </w:rPr>
          <w:t>66 NY2d 833</w:t>
        </w:r>
      </w:hyperlink>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see</w:t>
      </w:r>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also</w:t>
      </w:r>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Potter v Collis</w:t>
      </w:r>
      <w:r w:rsidRPr="00911B15">
        <w:rPr>
          <w:rFonts w:ascii="Lucida Sans Unicode" w:eastAsia="Times New Roman" w:hAnsi="Lucida Sans Unicode" w:cs="Lucida Sans Unicode"/>
          <w:color w:val="000000"/>
          <w:sz w:val="21"/>
          <w:szCs w:val="21"/>
        </w:rPr>
        <w:t>, 156 NY 16, 30 [where a municipality holds title to land for public use "the power to regulate those uses (is) vested solely in the Legislature"]). That proposition is reflected both in our case law and in our statutes (</w:t>
      </w:r>
      <w:r w:rsidRPr="00911B15">
        <w:rPr>
          <w:rFonts w:ascii="Lucida Sans Unicode" w:eastAsia="Times New Roman" w:hAnsi="Lucida Sans Unicode" w:cs="Lucida Sans Unicode"/>
          <w:i/>
          <w:iCs/>
          <w:color w:val="000000"/>
          <w:sz w:val="21"/>
          <w:szCs w:val="21"/>
        </w:rPr>
        <w:t>see</w:t>
      </w:r>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e.g.</w:t>
      </w:r>
      <w:r w:rsidRPr="00911B15">
        <w:rPr>
          <w:rFonts w:ascii="Lucida Sans Unicode" w:eastAsia="Times New Roman" w:hAnsi="Lucida Sans Unicode" w:cs="Lucida Sans Unicode"/>
          <w:color w:val="000000"/>
          <w:sz w:val="21"/>
          <w:szCs w:val="21"/>
        </w:rPr>
        <w:t xml:space="preserve">, L 1989, </w:t>
      </w:r>
      <w:proofErr w:type="spellStart"/>
      <w:r w:rsidRPr="00911B15">
        <w:rPr>
          <w:rFonts w:ascii="Lucida Sans Unicode" w:eastAsia="Times New Roman" w:hAnsi="Lucida Sans Unicode" w:cs="Lucida Sans Unicode"/>
          <w:color w:val="000000"/>
          <w:sz w:val="21"/>
          <w:szCs w:val="21"/>
        </w:rPr>
        <w:t>ch</w:t>
      </w:r>
      <w:proofErr w:type="spellEnd"/>
      <w:r w:rsidRPr="00911B15">
        <w:rPr>
          <w:rFonts w:ascii="Lucida Sans Unicode" w:eastAsia="Times New Roman" w:hAnsi="Lucida Sans Unicode" w:cs="Lucida Sans Unicode"/>
          <w:color w:val="000000"/>
          <w:sz w:val="21"/>
          <w:szCs w:val="21"/>
        </w:rPr>
        <w:t xml:space="preserve"> 533 [easements over parkland for construction, operation and maintenance of water treatment facility]; L 1998, </w:t>
      </w:r>
      <w:proofErr w:type="spellStart"/>
      <w:r w:rsidRPr="00911B15">
        <w:rPr>
          <w:rFonts w:ascii="Lucida Sans Unicode" w:eastAsia="Times New Roman" w:hAnsi="Lucida Sans Unicode" w:cs="Lucida Sans Unicode"/>
          <w:color w:val="000000"/>
          <w:sz w:val="21"/>
          <w:szCs w:val="21"/>
        </w:rPr>
        <w:t>ch</w:t>
      </w:r>
      <w:proofErr w:type="spellEnd"/>
      <w:r w:rsidRPr="00911B15">
        <w:rPr>
          <w:rFonts w:ascii="Lucida Sans Unicode" w:eastAsia="Times New Roman" w:hAnsi="Lucida Sans Unicode" w:cs="Lucida Sans Unicode"/>
          <w:color w:val="000000"/>
          <w:sz w:val="21"/>
          <w:szCs w:val="21"/>
        </w:rPr>
        <w:t xml:space="preserve"> 209 [easements in Webster Park for construction, operation and maintenance of sanitary sewer system facilities]; L 1994, </w:t>
      </w:r>
      <w:proofErr w:type="spellStart"/>
      <w:r w:rsidRPr="00911B15">
        <w:rPr>
          <w:rFonts w:ascii="Lucida Sans Unicode" w:eastAsia="Times New Roman" w:hAnsi="Lucida Sans Unicode" w:cs="Lucida Sans Unicode"/>
          <w:color w:val="000000"/>
          <w:sz w:val="21"/>
          <w:szCs w:val="21"/>
        </w:rPr>
        <w:t>ch</w:t>
      </w:r>
      <w:proofErr w:type="spellEnd"/>
      <w:r w:rsidRPr="00911B15">
        <w:rPr>
          <w:rFonts w:ascii="Lucida Sans Unicode" w:eastAsia="Times New Roman" w:hAnsi="Lucida Sans Unicode" w:cs="Lucida Sans Unicode"/>
          <w:color w:val="000000"/>
          <w:sz w:val="21"/>
          <w:szCs w:val="21"/>
        </w:rPr>
        <w:t xml:space="preserve"> 341 [parkland in Town of Waverly necessary for sewer district]; L 1994, </w:t>
      </w:r>
      <w:proofErr w:type="spellStart"/>
      <w:r w:rsidRPr="00911B15">
        <w:rPr>
          <w:rFonts w:ascii="Lucida Sans Unicode" w:eastAsia="Times New Roman" w:hAnsi="Lucida Sans Unicode" w:cs="Lucida Sans Unicode"/>
          <w:color w:val="000000"/>
          <w:sz w:val="21"/>
          <w:szCs w:val="21"/>
        </w:rPr>
        <w:t>ch</w:t>
      </w:r>
      <w:proofErr w:type="spellEnd"/>
      <w:r w:rsidRPr="00911B15">
        <w:rPr>
          <w:rFonts w:ascii="Lucida Sans Unicode" w:eastAsia="Times New Roman" w:hAnsi="Lucida Sans Unicode" w:cs="Lucida Sans Unicode"/>
          <w:color w:val="000000"/>
          <w:sz w:val="21"/>
          <w:szCs w:val="21"/>
        </w:rPr>
        <w:t xml:space="preserve"> 534 [easements in towns of Fleming and </w:t>
      </w:r>
      <w:proofErr w:type="spellStart"/>
      <w:r w:rsidRPr="00911B15">
        <w:rPr>
          <w:rFonts w:ascii="Lucida Sans Unicode" w:eastAsia="Times New Roman" w:hAnsi="Lucida Sans Unicode" w:cs="Lucida Sans Unicode"/>
          <w:color w:val="000000"/>
          <w:sz w:val="21"/>
          <w:szCs w:val="21"/>
        </w:rPr>
        <w:t>Owasco</w:t>
      </w:r>
      <w:proofErr w:type="spellEnd"/>
      <w:r w:rsidRPr="00911B15">
        <w:rPr>
          <w:rFonts w:ascii="Lucida Sans Unicode" w:eastAsia="Times New Roman" w:hAnsi="Lucida Sans Unicode" w:cs="Lucida Sans Unicode"/>
          <w:color w:val="000000"/>
          <w:sz w:val="21"/>
          <w:szCs w:val="21"/>
        </w:rPr>
        <w:t xml:space="preserve"> for water mains]).</w:t>
      </w:r>
    </w:p>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Finally, we reach this conclusion as a matter of common law, without the need to address </w:t>
      </w:r>
      <w:hyperlink r:id="rId11" w:history="1">
        <w:r w:rsidRPr="00911B15">
          <w:rPr>
            <w:rFonts w:ascii="Lucida Sans Unicode" w:eastAsia="Times New Roman" w:hAnsi="Lucida Sans Unicode" w:cs="Lucida Sans Unicode"/>
            <w:color w:val="005C72"/>
            <w:sz w:val="21"/>
            <w:szCs w:val="21"/>
            <w:u w:val="single"/>
          </w:rPr>
          <w:t>General City Law § 2</w:t>
        </w:r>
      </w:hyperlink>
      <w:r w:rsidRPr="00911B15">
        <w:rPr>
          <w:rFonts w:ascii="Lucida Sans Unicode" w:eastAsia="Times New Roman" w:hAnsi="Lucida Sans Unicode" w:cs="Lucida Sans Unicode"/>
          <w:color w:val="000000"/>
          <w:sz w:val="21"/>
          <w:szCs w:val="21"/>
        </w:rPr>
        <w:t>).</w:t>
      </w:r>
    </w:p>
    <w:p w:rsidR="00911B15" w:rsidRPr="00911B15" w:rsidRDefault="00911B15" w:rsidP="00911B15">
      <w:pPr>
        <w:shd w:val="clear" w:color="auto" w:fill="FFFFFF"/>
        <w:spacing w:before="100" w:beforeAutospacing="1" w:after="100" w:afterAutospacing="1" w:line="237" w:lineRule="atLeast"/>
        <w:ind w:right="174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Accordingly, the certified question should be answered in the affirmative.</w:t>
      </w:r>
    </w:p>
    <w:p w:rsidR="00911B15" w:rsidRPr="00911B15" w:rsidRDefault="00911B15" w:rsidP="00911B15">
      <w:pPr>
        <w:shd w:val="clear" w:color="auto" w:fill="FFFFFF"/>
        <w:tabs>
          <w:tab w:val="left" w:pos="9990"/>
          <w:tab w:val="left" w:pos="10080"/>
        </w:tabs>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 xml:space="preserve">Following certification of a question by the United States Court of Appeals for the Second Circuit and acceptance of the question by this Court pursuant to section 500.17 of the Rules of Practice of the New York State Court of Appeals, and after hearing argument by counsel for the parties and consideration of the briefs and the record submitted, certified question answered in the affirmative. Opinion by Chief Judge Kaye. Judges Smith, Levine, </w:t>
      </w:r>
      <w:proofErr w:type="spellStart"/>
      <w:r w:rsidRPr="00911B15">
        <w:rPr>
          <w:rFonts w:ascii="Lucida Sans Unicode" w:eastAsia="Times New Roman" w:hAnsi="Lucida Sans Unicode" w:cs="Lucida Sans Unicode"/>
          <w:color w:val="000000"/>
          <w:sz w:val="21"/>
          <w:szCs w:val="21"/>
        </w:rPr>
        <w:t>Ciparick</w:t>
      </w:r>
      <w:proofErr w:type="spellEnd"/>
      <w:r w:rsidRPr="00911B15">
        <w:rPr>
          <w:rFonts w:ascii="Lucida Sans Unicode" w:eastAsia="Times New Roman" w:hAnsi="Lucida Sans Unicode" w:cs="Lucida Sans Unicode"/>
          <w:color w:val="000000"/>
          <w:sz w:val="21"/>
          <w:szCs w:val="21"/>
        </w:rPr>
        <w:t xml:space="preserve">, Wesley, Rosenblatt and </w:t>
      </w:r>
      <w:proofErr w:type="spellStart"/>
      <w:r w:rsidRPr="00911B15">
        <w:rPr>
          <w:rFonts w:ascii="Lucida Sans Unicode" w:eastAsia="Times New Roman" w:hAnsi="Lucida Sans Unicode" w:cs="Lucida Sans Unicode"/>
          <w:color w:val="000000"/>
          <w:sz w:val="21"/>
          <w:szCs w:val="21"/>
        </w:rPr>
        <w:t>Graffeo</w:t>
      </w:r>
      <w:proofErr w:type="spellEnd"/>
      <w:r w:rsidRPr="00911B15">
        <w:rPr>
          <w:rFonts w:ascii="Lucida Sans Unicode" w:eastAsia="Times New Roman" w:hAnsi="Lucida Sans Unicode" w:cs="Lucida Sans Unicode"/>
          <w:color w:val="000000"/>
          <w:sz w:val="21"/>
          <w:szCs w:val="21"/>
        </w:rPr>
        <w:t xml:space="preserve"> concur.</w:t>
      </w:r>
    </w:p>
    <w:p w:rsidR="00911B15" w:rsidRPr="00911B15" w:rsidRDefault="00911B15" w:rsidP="00911B15">
      <w:pPr>
        <w:shd w:val="clear" w:color="auto" w:fill="FFFFFF"/>
        <w:spacing w:before="100" w:beforeAutospacing="1" w:after="100" w:afterAutospacing="1" w:line="237" w:lineRule="atLeast"/>
        <w:ind w:right="174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t>Decided February 8, 2001</w:t>
      </w:r>
    </w:p>
    <w:p w:rsidR="00911B15" w:rsidRPr="00911B15" w:rsidRDefault="0073528B" w:rsidP="00911B15">
      <w:pPr>
        <w:shd w:val="clear" w:color="auto" w:fill="FFFFFF"/>
        <w:spacing w:after="0" w:line="237" w:lineRule="atLeast"/>
        <w:rPr>
          <w:rFonts w:ascii="Lucida Sans Unicode" w:eastAsia="Times New Roman" w:hAnsi="Lucida Sans Unicode" w:cs="Lucida Sans Unicode"/>
          <w:color w:val="000000"/>
          <w:sz w:val="21"/>
          <w:szCs w:val="21"/>
        </w:rPr>
      </w:pPr>
      <w:r>
        <w:rPr>
          <w:rFonts w:ascii="Lucida Sans Unicode" w:eastAsia="Times New Roman" w:hAnsi="Lucida Sans Unicode" w:cs="Lucida Sans Unicode"/>
          <w:color w:val="000000"/>
          <w:sz w:val="21"/>
          <w:szCs w:val="21"/>
        </w:rPr>
        <w:pict>
          <v:rect id="_x0000_i1027" style="width:336pt;height:1.5pt" o:hrpct="0" o:hralign="center" o:hrstd="t" o:hr="t" fillcolor="#a0a0a0" stroked="f"/>
        </w:pict>
      </w:r>
    </w:p>
    <w:p w:rsidR="00911B15" w:rsidRPr="00911B15" w:rsidRDefault="00911B15" w:rsidP="00911B15">
      <w:pPr>
        <w:shd w:val="clear" w:color="auto" w:fill="FFFFFF"/>
        <w:spacing w:after="0" w:line="237" w:lineRule="atLeast"/>
        <w:jc w:val="center"/>
        <w:outlineLvl w:val="1"/>
        <w:rPr>
          <w:rFonts w:ascii="Georgia" w:eastAsia="Times New Roman" w:hAnsi="Georgia" w:cs="Lucida Sans Unicode"/>
          <w:b/>
          <w:bCs/>
          <w:caps/>
          <w:color w:val="B31B3B"/>
          <w:sz w:val="27"/>
          <w:szCs w:val="27"/>
        </w:rPr>
      </w:pPr>
      <w:r w:rsidRPr="00911B15">
        <w:rPr>
          <w:rFonts w:ascii="Georgia" w:eastAsia="Times New Roman" w:hAnsi="Georgia" w:cs="Lucida Sans Unicode"/>
          <w:b/>
          <w:bCs/>
          <w:caps/>
          <w:color w:val="B31B3B"/>
          <w:sz w:val="27"/>
          <w:szCs w:val="27"/>
        </w:rPr>
        <w:t>FOOTNOTES</w:t>
      </w:r>
    </w:p>
    <w:bookmarkStart w:id="4" w:name="1"/>
    <w:p w:rsidR="00911B15" w:rsidRPr="00911B15" w:rsidRDefault="00911B15" w:rsidP="00911B15">
      <w:pPr>
        <w:shd w:val="clear" w:color="auto" w:fill="FFFFFF"/>
        <w:tabs>
          <w:tab w:val="left" w:pos="9990"/>
        </w:tabs>
        <w:spacing w:before="100" w:beforeAutospacing="1" w:after="100" w:afterAutospacing="1" w:line="237" w:lineRule="atLeast"/>
        <w:ind w:right="9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fldChar w:fldCharType="begin"/>
      </w:r>
      <w:r w:rsidRPr="00911B15">
        <w:rPr>
          <w:rFonts w:ascii="Lucida Sans Unicode" w:eastAsia="Times New Roman" w:hAnsi="Lucida Sans Unicode" w:cs="Lucida Sans Unicode"/>
          <w:color w:val="000000"/>
          <w:sz w:val="21"/>
          <w:szCs w:val="21"/>
        </w:rPr>
        <w:instrText xml:space="preserve"> HYPERLINK "http://www.law.cornell.edu/nyctap/I01_0003.htm" \l "FNSRC-1" </w:instrText>
      </w:r>
      <w:r w:rsidRPr="00911B15">
        <w:rPr>
          <w:rFonts w:ascii="Lucida Sans Unicode" w:eastAsia="Times New Roman" w:hAnsi="Lucida Sans Unicode" w:cs="Lucida Sans Unicode"/>
          <w:color w:val="000000"/>
          <w:sz w:val="21"/>
          <w:szCs w:val="21"/>
        </w:rPr>
        <w:fldChar w:fldCharType="separate"/>
      </w:r>
      <w:r w:rsidRPr="00911B15">
        <w:rPr>
          <w:rFonts w:ascii="Lucida Sans Unicode" w:eastAsia="Times New Roman" w:hAnsi="Lucida Sans Unicode" w:cs="Lucida Sans Unicode"/>
          <w:color w:val="005C72"/>
          <w:sz w:val="21"/>
          <w:szCs w:val="21"/>
          <w:u w:val="single"/>
        </w:rPr>
        <w:t>1</w:t>
      </w:r>
      <w:r w:rsidRPr="00911B15">
        <w:rPr>
          <w:rFonts w:ascii="Lucida Sans Unicode" w:eastAsia="Times New Roman" w:hAnsi="Lucida Sans Unicode" w:cs="Lucida Sans Unicode"/>
          <w:color w:val="000000"/>
          <w:sz w:val="21"/>
          <w:szCs w:val="21"/>
        </w:rPr>
        <w:fldChar w:fldCharType="end"/>
      </w:r>
      <w:bookmarkEnd w:id="4"/>
      <w:r w:rsidRPr="00911B15">
        <w:rPr>
          <w:rFonts w:ascii="Lucida Sans Unicode" w:eastAsia="Times New Roman" w:hAnsi="Lucida Sans Unicode" w:cs="Lucida Sans Unicode"/>
          <w:color w:val="000000"/>
          <w:sz w:val="21"/>
          <w:szCs w:val="21"/>
        </w:rPr>
        <w:t xml:space="preserve">   The Legislature authorized the City, through the Department of Public Parks, to take parcels of land designated as Van Cortlandt Park "for public use" as a park (L 1884, </w:t>
      </w:r>
      <w:proofErr w:type="spellStart"/>
      <w:r w:rsidRPr="00911B15">
        <w:rPr>
          <w:rFonts w:ascii="Lucida Sans Unicode" w:eastAsia="Times New Roman" w:hAnsi="Lucida Sans Unicode" w:cs="Lucida Sans Unicode"/>
          <w:color w:val="000000"/>
          <w:sz w:val="21"/>
          <w:szCs w:val="21"/>
        </w:rPr>
        <w:t>ch</w:t>
      </w:r>
      <w:proofErr w:type="spellEnd"/>
      <w:r w:rsidRPr="00911B15">
        <w:rPr>
          <w:rFonts w:ascii="Lucida Sans Unicode" w:eastAsia="Times New Roman" w:hAnsi="Lucida Sans Unicode" w:cs="Lucida Sans Unicode"/>
          <w:color w:val="000000"/>
          <w:sz w:val="21"/>
          <w:szCs w:val="21"/>
        </w:rPr>
        <w:t xml:space="preserve"> 522, §§ 1, 2).</w:t>
      </w:r>
    </w:p>
    <w:bookmarkStart w:id="5" w:name="2"/>
    <w:p w:rsidR="00911B15" w:rsidRPr="00911B15" w:rsidRDefault="00911B15" w:rsidP="00911B15">
      <w:pPr>
        <w:shd w:val="clear" w:color="auto" w:fill="FFFFFF"/>
        <w:spacing w:before="100" w:beforeAutospacing="1" w:after="100" w:afterAutospacing="1" w:line="237" w:lineRule="atLeast"/>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fldChar w:fldCharType="begin"/>
      </w:r>
      <w:r w:rsidRPr="00911B15">
        <w:rPr>
          <w:rFonts w:ascii="Lucida Sans Unicode" w:eastAsia="Times New Roman" w:hAnsi="Lucida Sans Unicode" w:cs="Lucida Sans Unicode"/>
          <w:color w:val="000000"/>
          <w:sz w:val="21"/>
          <w:szCs w:val="21"/>
        </w:rPr>
        <w:instrText xml:space="preserve"> HYPERLINK "http://www.law.cornell.edu/nyctap/I01_0003.htm" \l "FNSRC-2" </w:instrText>
      </w:r>
      <w:r w:rsidRPr="00911B15">
        <w:rPr>
          <w:rFonts w:ascii="Lucida Sans Unicode" w:eastAsia="Times New Roman" w:hAnsi="Lucida Sans Unicode" w:cs="Lucida Sans Unicode"/>
          <w:color w:val="000000"/>
          <w:sz w:val="21"/>
          <w:szCs w:val="21"/>
        </w:rPr>
        <w:fldChar w:fldCharType="separate"/>
      </w:r>
      <w:r w:rsidRPr="00911B15">
        <w:rPr>
          <w:rFonts w:ascii="Lucida Sans Unicode" w:eastAsia="Times New Roman" w:hAnsi="Lucida Sans Unicode" w:cs="Lucida Sans Unicode"/>
          <w:color w:val="005C72"/>
          <w:sz w:val="21"/>
          <w:szCs w:val="21"/>
          <w:u w:val="single"/>
        </w:rPr>
        <w:t>2</w:t>
      </w:r>
      <w:r w:rsidRPr="00911B15">
        <w:rPr>
          <w:rFonts w:ascii="Lucida Sans Unicode" w:eastAsia="Times New Roman" w:hAnsi="Lucida Sans Unicode" w:cs="Lucida Sans Unicode"/>
          <w:color w:val="000000"/>
          <w:sz w:val="21"/>
          <w:szCs w:val="21"/>
        </w:rPr>
        <w:fldChar w:fldCharType="end"/>
      </w:r>
      <w:bookmarkEnd w:id="5"/>
      <w:r w:rsidRPr="00911B15">
        <w:rPr>
          <w:rFonts w:ascii="Lucida Sans Unicode" w:eastAsia="Times New Roman" w:hAnsi="Lucida Sans Unicode" w:cs="Lucida Sans Unicode"/>
          <w:color w:val="000000"/>
          <w:sz w:val="21"/>
          <w:szCs w:val="21"/>
        </w:rPr>
        <w:t>   The Second Circuit added that the certified question might subsume two questions: "Is State legislative approval required for the City to place the proposed [water treatment plant] underneath Van Cortlandt Park, and if not, is State legislative approval required before the City may withdraw from parkland use the amount of parkland that will be interfered with by construction of the proposed [plant] for the time currently estimated to restore the parkland to park use?" Our response makes it unnecessary to address these subsidiary questions.</w:t>
      </w:r>
    </w:p>
    <w:bookmarkStart w:id="6" w:name="3"/>
    <w:p w:rsidR="00911B15" w:rsidRPr="00911B15" w:rsidRDefault="00911B15" w:rsidP="00911B15">
      <w:pPr>
        <w:shd w:val="clear" w:color="auto" w:fill="FFFFFF"/>
        <w:spacing w:before="100" w:beforeAutospacing="1" w:after="100" w:afterAutospacing="1" w:line="237" w:lineRule="atLeast"/>
        <w:ind w:right="90"/>
        <w:rPr>
          <w:rFonts w:ascii="Lucida Sans Unicode" w:eastAsia="Times New Roman" w:hAnsi="Lucida Sans Unicode" w:cs="Lucida Sans Unicode"/>
          <w:color w:val="000000"/>
          <w:sz w:val="21"/>
          <w:szCs w:val="21"/>
        </w:rPr>
      </w:pPr>
      <w:r w:rsidRPr="00911B15">
        <w:rPr>
          <w:rFonts w:ascii="Lucida Sans Unicode" w:eastAsia="Times New Roman" w:hAnsi="Lucida Sans Unicode" w:cs="Lucida Sans Unicode"/>
          <w:color w:val="000000"/>
          <w:sz w:val="21"/>
          <w:szCs w:val="21"/>
        </w:rPr>
        <w:fldChar w:fldCharType="begin"/>
      </w:r>
      <w:r w:rsidRPr="00911B15">
        <w:rPr>
          <w:rFonts w:ascii="Lucida Sans Unicode" w:eastAsia="Times New Roman" w:hAnsi="Lucida Sans Unicode" w:cs="Lucida Sans Unicode"/>
          <w:color w:val="000000"/>
          <w:sz w:val="21"/>
          <w:szCs w:val="21"/>
        </w:rPr>
        <w:instrText xml:space="preserve"> HYPERLINK "http://www.law.cornell.edu/nyctap/I01_0003.htm" \l "FNSRC-3" </w:instrText>
      </w:r>
      <w:r w:rsidRPr="00911B15">
        <w:rPr>
          <w:rFonts w:ascii="Lucida Sans Unicode" w:eastAsia="Times New Roman" w:hAnsi="Lucida Sans Unicode" w:cs="Lucida Sans Unicode"/>
          <w:color w:val="000000"/>
          <w:sz w:val="21"/>
          <w:szCs w:val="21"/>
        </w:rPr>
        <w:fldChar w:fldCharType="separate"/>
      </w:r>
      <w:r w:rsidRPr="00911B15">
        <w:rPr>
          <w:rFonts w:ascii="Lucida Sans Unicode" w:eastAsia="Times New Roman" w:hAnsi="Lucida Sans Unicode" w:cs="Lucida Sans Unicode"/>
          <w:color w:val="005C72"/>
          <w:sz w:val="21"/>
          <w:szCs w:val="21"/>
          <w:u w:val="single"/>
        </w:rPr>
        <w:t>3</w:t>
      </w:r>
      <w:r w:rsidRPr="00911B15">
        <w:rPr>
          <w:rFonts w:ascii="Lucida Sans Unicode" w:eastAsia="Times New Roman" w:hAnsi="Lucida Sans Unicode" w:cs="Lucida Sans Unicode"/>
          <w:color w:val="000000"/>
          <w:sz w:val="21"/>
          <w:szCs w:val="21"/>
        </w:rPr>
        <w:fldChar w:fldCharType="end"/>
      </w:r>
      <w:bookmarkEnd w:id="6"/>
      <w:r w:rsidRPr="00911B15">
        <w:rPr>
          <w:rFonts w:ascii="Lucida Sans Unicode" w:eastAsia="Times New Roman" w:hAnsi="Lucida Sans Unicode" w:cs="Lucida Sans Unicode"/>
          <w:color w:val="000000"/>
          <w:sz w:val="21"/>
          <w:szCs w:val="21"/>
        </w:rPr>
        <w:t>   While the parties' focus is on </w:t>
      </w:r>
      <w:r w:rsidRPr="00911B15">
        <w:rPr>
          <w:rFonts w:ascii="Lucida Sans Unicode" w:eastAsia="Times New Roman" w:hAnsi="Lucida Sans Unicode" w:cs="Lucida Sans Unicode"/>
          <w:i/>
          <w:iCs/>
          <w:color w:val="000000"/>
          <w:sz w:val="21"/>
          <w:szCs w:val="21"/>
        </w:rPr>
        <w:t>Williams</w:t>
      </w:r>
      <w:r w:rsidRPr="00911B15">
        <w:rPr>
          <w:rFonts w:ascii="Lucida Sans Unicode" w:eastAsia="Times New Roman" w:hAnsi="Lucida Sans Unicode" w:cs="Lucida Sans Unicode"/>
          <w:color w:val="000000"/>
          <w:sz w:val="21"/>
          <w:szCs w:val="21"/>
        </w:rPr>
        <w:t>, the public trust doctrine is rooted in much earlier history (</w:t>
      </w:r>
      <w:r w:rsidRPr="00911B15">
        <w:rPr>
          <w:rFonts w:ascii="Lucida Sans Unicode" w:eastAsia="Times New Roman" w:hAnsi="Lucida Sans Unicode" w:cs="Lucida Sans Unicode"/>
          <w:i/>
          <w:iCs/>
          <w:color w:val="000000"/>
          <w:sz w:val="21"/>
          <w:szCs w:val="21"/>
        </w:rPr>
        <w:t>see</w:t>
      </w:r>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Brooklyn Park Commissioners v Armstrong</w:t>
      </w:r>
      <w:r w:rsidRPr="00911B15">
        <w:rPr>
          <w:rFonts w:ascii="Lucida Sans Unicode" w:eastAsia="Times New Roman" w:hAnsi="Lucida Sans Unicode" w:cs="Lucida Sans Unicode"/>
          <w:color w:val="000000"/>
          <w:sz w:val="21"/>
          <w:szCs w:val="21"/>
        </w:rPr>
        <w:t>, 45 NY 234, 243; </w:t>
      </w:r>
      <w:r w:rsidRPr="00911B15">
        <w:rPr>
          <w:rFonts w:ascii="Lucida Sans Unicode" w:eastAsia="Times New Roman" w:hAnsi="Lucida Sans Unicode" w:cs="Lucida Sans Unicode"/>
          <w:i/>
          <w:iCs/>
          <w:color w:val="000000"/>
          <w:sz w:val="21"/>
          <w:szCs w:val="21"/>
        </w:rPr>
        <w:t>see</w:t>
      </w:r>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also</w:t>
      </w:r>
      <w:r w:rsidRPr="00911B15">
        <w:rPr>
          <w:rFonts w:ascii="Lucida Sans Unicode" w:eastAsia="Times New Roman" w:hAnsi="Lucida Sans Unicode" w:cs="Lucida Sans Unicode"/>
          <w:color w:val="000000"/>
          <w:sz w:val="21"/>
          <w:szCs w:val="21"/>
        </w:rPr>
        <w:t>, 11 Powell, Real Property § 79.02[3], at 79-10-79-11; David C. Slade, </w:t>
      </w:r>
      <w:r w:rsidRPr="00911B15">
        <w:rPr>
          <w:rFonts w:ascii="Lucida Sans Unicode" w:eastAsia="Times New Roman" w:hAnsi="Lucida Sans Unicode" w:cs="Lucida Sans Unicode"/>
          <w:i/>
          <w:iCs/>
          <w:color w:val="000000"/>
          <w:sz w:val="21"/>
          <w:szCs w:val="21"/>
        </w:rPr>
        <w:t>et al.</w:t>
      </w:r>
      <w:r w:rsidRPr="00911B15">
        <w:rPr>
          <w:rFonts w:ascii="Lucida Sans Unicode" w:eastAsia="Times New Roman" w:hAnsi="Lucida Sans Unicode" w:cs="Lucida Sans Unicode"/>
          <w:color w:val="000000"/>
          <w:sz w:val="21"/>
          <w:szCs w:val="21"/>
        </w:rPr>
        <w:t>, </w:t>
      </w:r>
      <w:r w:rsidRPr="00911B15">
        <w:rPr>
          <w:rFonts w:ascii="Lucida Sans Unicode" w:eastAsia="Times New Roman" w:hAnsi="Lucida Sans Unicode" w:cs="Lucida Sans Unicode"/>
          <w:i/>
          <w:iCs/>
          <w:color w:val="000000"/>
          <w:sz w:val="21"/>
          <w:szCs w:val="21"/>
        </w:rPr>
        <w:t>Putting the Public Trust Doctrine to Work</w:t>
      </w:r>
      <w:r w:rsidRPr="00911B15">
        <w:rPr>
          <w:rFonts w:ascii="Lucida Sans Unicode" w:eastAsia="Times New Roman" w:hAnsi="Lucida Sans Unicode" w:cs="Lucida Sans Unicode"/>
          <w:color w:val="000000"/>
          <w:sz w:val="21"/>
          <w:szCs w:val="21"/>
        </w:rPr>
        <w:t> 3-4 [1990]).</w:t>
      </w:r>
    </w:p>
    <w:p w:rsidR="00911B15" w:rsidRPr="00911B15" w:rsidRDefault="00911B15" w:rsidP="00911B15"/>
    <w:sectPr w:rsidR="00911B15" w:rsidRPr="00911B15" w:rsidSect="00911B1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F006E"/>
    <w:multiLevelType w:val="multilevel"/>
    <w:tmpl w:val="769E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C3051"/>
    <w:multiLevelType w:val="multilevel"/>
    <w:tmpl w:val="A652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15"/>
    <w:rsid w:val="0073528B"/>
    <w:rsid w:val="00911B15"/>
    <w:rsid w:val="00CE4A55"/>
    <w:rsid w:val="00D6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A5786-0632-4C44-8CEB-44EB2741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9919">
      <w:bodyDiv w:val="1"/>
      <w:marLeft w:val="0"/>
      <w:marRight w:val="0"/>
      <w:marTop w:val="0"/>
      <w:marBottom w:val="0"/>
      <w:divBdr>
        <w:top w:val="none" w:sz="0" w:space="0" w:color="auto"/>
        <w:left w:val="none" w:sz="0" w:space="0" w:color="auto"/>
        <w:bottom w:val="none" w:sz="0" w:space="0" w:color="auto"/>
        <w:right w:val="none" w:sz="0" w:space="0" w:color="auto"/>
      </w:divBdr>
      <w:divsChild>
        <w:div w:id="1212183612">
          <w:marLeft w:val="0"/>
          <w:marRight w:val="0"/>
          <w:marTop w:val="0"/>
          <w:marBottom w:val="0"/>
          <w:divBdr>
            <w:top w:val="none" w:sz="0" w:space="0" w:color="auto"/>
            <w:left w:val="none" w:sz="0" w:space="0" w:color="auto"/>
            <w:bottom w:val="none" w:sz="0" w:space="0" w:color="auto"/>
            <w:right w:val="none" w:sz="0" w:space="0" w:color="auto"/>
          </w:divBdr>
          <w:divsChild>
            <w:div w:id="1752968070">
              <w:marLeft w:val="0"/>
              <w:marRight w:val="0"/>
              <w:marTop w:val="75"/>
              <w:marBottom w:val="75"/>
              <w:divBdr>
                <w:top w:val="none" w:sz="0" w:space="0" w:color="auto"/>
                <w:left w:val="none" w:sz="0" w:space="0" w:color="auto"/>
                <w:bottom w:val="none" w:sz="0" w:space="0" w:color="auto"/>
                <w:right w:val="none" w:sz="0" w:space="0" w:color="auto"/>
              </w:divBdr>
              <w:divsChild>
                <w:div w:id="224537055">
                  <w:marLeft w:val="0"/>
                  <w:marRight w:val="0"/>
                  <w:marTop w:val="0"/>
                  <w:marBottom w:val="0"/>
                  <w:divBdr>
                    <w:top w:val="none" w:sz="0" w:space="0" w:color="auto"/>
                    <w:left w:val="none" w:sz="0" w:space="0" w:color="auto"/>
                    <w:bottom w:val="none" w:sz="0" w:space="0" w:color="auto"/>
                    <w:right w:val="none" w:sz="0" w:space="0" w:color="auto"/>
                  </w:divBdr>
                  <w:divsChild>
                    <w:div w:id="1086607071">
                      <w:marLeft w:val="0"/>
                      <w:marRight w:val="300"/>
                      <w:marTop w:val="0"/>
                      <w:marBottom w:val="0"/>
                      <w:divBdr>
                        <w:top w:val="none" w:sz="0" w:space="0" w:color="auto"/>
                        <w:left w:val="none" w:sz="0" w:space="0" w:color="auto"/>
                        <w:bottom w:val="none" w:sz="0" w:space="0" w:color="auto"/>
                        <w:right w:val="none" w:sz="0" w:space="0" w:color="auto"/>
                      </w:divBdr>
                      <w:divsChild>
                        <w:div w:id="365328678">
                          <w:marLeft w:val="0"/>
                          <w:marRight w:val="0"/>
                          <w:marTop w:val="0"/>
                          <w:marBottom w:val="0"/>
                          <w:divBdr>
                            <w:top w:val="none" w:sz="0" w:space="0" w:color="auto"/>
                            <w:left w:val="none" w:sz="0" w:space="0" w:color="auto"/>
                            <w:bottom w:val="none" w:sz="0" w:space="0" w:color="auto"/>
                            <w:right w:val="none" w:sz="0" w:space="0" w:color="auto"/>
                          </w:divBdr>
                          <w:divsChild>
                            <w:div w:id="1866013488">
                              <w:marLeft w:val="0"/>
                              <w:marRight w:val="0"/>
                              <w:marTop w:val="0"/>
                              <w:marBottom w:val="0"/>
                              <w:divBdr>
                                <w:top w:val="none" w:sz="0" w:space="0" w:color="auto"/>
                                <w:left w:val="none" w:sz="0" w:space="0" w:color="auto"/>
                                <w:bottom w:val="none" w:sz="0" w:space="0" w:color="auto"/>
                                <w:right w:val="none" w:sz="0" w:space="0" w:color="auto"/>
                              </w:divBdr>
                              <w:divsChild>
                                <w:div w:id="1449398436">
                                  <w:blockQuote w:val="1"/>
                                  <w:marLeft w:val="2112"/>
                                  <w:marRight w:val="2112"/>
                                  <w:marTop w:val="100"/>
                                  <w:marBottom w:val="100"/>
                                  <w:divBdr>
                                    <w:top w:val="none" w:sz="0" w:space="0" w:color="auto"/>
                                    <w:left w:val="none" w:sz="0" w:space="0" w:color="auto"/>
                                    <w:bottom w:val="none" w:sz="0" w:space="0" w:color="auto"/>
                                    <w:right w:val="none" w:sz="0" w:space="0" w:color="auto"/>
                                  </w:divBdr>
                                </w:div>
                                <w:div w:id="51736119">
                                  <w:blockQuote w:val="1"/>
                                  <w:marLeft w:val="2112"/>
                                  <w:marRight w:val="2112"/>
                                  <w:marTop w:val="100"/>
                                  <w:marBottom w:val="100"/>
                                  <w:divBdr>
                                    <w:top w:val="none" w:sz="0" w:space="0" w:color="auto"/>
                                    <w:left w:val="none" w:sz="0" w:space="0" w:color="auto"/>
                                    <w:bottom w:val="none" w:sz="0" w:space="0" w:color="auto"/>
                                    <w:right w:val="none" w:sz="0" w:space="0" w:color="auto"/>
                                  </w:divBdr>
                                </w:div>
                              </w:divsChild>
                            </w:div>
                          </w:divsChild>
                        </w:div>
                      </w:divsChild>
                    </w:div>
                    <w:div w:id="1062633067">
                      <w:marLeft w:val="0"/>
                      <w:marRight w:val="0"/>
                      <w:marTop w:val="0"/>
                      <w:marBottom w:val="0"/>
                      <w:divBdr>
                        <w:top w:val="none" w:sz="0" w:space="0" w:color="auto"/>
                        <w:left w:val="none" w:sz="0" w:space="0" w:color="auto"/>
                        <w:bottom w:val="none" w:sz="0" w:space="0" w:color="auto"/>
                        <w:right w:val="none" w:sz="0" w:space="0" w:color="auto"/>
                      </w:divBdr>
                      <w:divsChild>
                        <w:div w:id="857813684">
                          <w:marLeft w:val="0"/>
                          <w:marRight w:val="0"/>
                          <w:marTop w:val="0"/>
                          <w:marBottom w:val="0"/>
                          <w:divBdr>
                            <w:top w:val="none" w:sz="0" w:space="0" w:color="auto"/>
                            <w:left w:val="none" w:sz="0" w:space="0" w:color="auto"/>
                            <w:bottom w:val="none" w:sz="0" w:space="0" w:color="auto"/>
                            <w:right w:val="none" w:sz="0" w:space="0" w:color="auto"/>
                          </w:divBdr>
                          <w:divsChild>
                            <w:div w:id="1000232939">
                              <w:marLeft w:val="0"/>
                              <w:marRight w:val="0"/>
                              <w:marTop w:val="0"/>
                              <w:marBottom w:val="225"/>
                              <w:divBdr>
                                <w:top w:val="none" w:sz="0" w:space="0" w:color="auto"/>
                                <w:left w:val="none" w:sz="0" w:space="0" w:color="auto"/>
                                <w:bottom w:val="none" w:sz="0" w:space="0" w:color="auto"/>
                                <w:right w:val="none" w:sz="0" w:space="0" w:color="auto"/>
                              </w:divBdr>
                              <w:divsChild>
                                <w:div w:id="444617909">
                                  <w:marLeft w:val="0"/>
                                  <w:marRight w:val="0"/>
                                  <w:marTop w:val="0"/>
                                  <w:marBottom w:val="0"/>
                                  <w:divBdr>
                                    <w:top w:val="single" w:sz="6" w:space="7" w:color="CCCCCC"/>
                                    <w:left w:val="single" w:sz="6" w:space="7" w:color="CCCCCC"/>
                                    <w:bottom w:val="single" w:sz="6" w:space="7" w:color="CCCCCC"/>
                                    <w:right w:val="single" w:sz="6" w:space="7" w:color="CCCCCC"/>
                                  </w:divBdr>
                                  <w:divsChild>
                                    <w:div w:id="1593196913">
                                      <w:marLeft w:val="0"/>
                                      <w:marRight w:val="0"/>
                                      <w:marTop w:val="0"/>
                                      <w:marBottom w:val="0"/>
                                      <w:divBdr>
                                        <w:top w:val="none" w:sz="0" w:space="0" w:color="auto"/>
                                        <w:left w:val="none" w:sz="0" w:space="0" w:color="auto"/>
                                        <w:bottom w:val="none" w:sz="0" w:space="0" w:color="auto"/>
                                        <w:right w:val="none" w:sz="0" w:space="0" w:color="auto"/>
                                      </w:divBdr>
                                      <w:divsChild>
                                        <w:div w:id="955410135">
                                          <w:marLeft w:val="0"/>
                                          <w:marRight w:val="0"/>
                                          <w:marTop w:val="0"/>
                                          <w:marBottom w:val="0"/>
                                          <w:divBdr>
                                            <w:top w:val="none" w:sz="0" w:space="0" w:color="auto"/>
                                            <w:left w:val="none" w:sz="0" w:space="0" w:color="auto"/>
                                            <w:bottom w:val="none" w:sz="0" w:space="0" w:color="auto"/>
                                            <w:right w:val="none" w:sz="0" w:space="0" w:color="auto"/>
                                          </w:divBdr>
                                          <w:divsChild>
                                            <w:div w:id="1536963622">
                                              <w:marLeft w:val="0"/>
                                              <w:marRight w:val="0"/>
                                              <w:marTop w:val="0"/>
                                              <w:marBottom w:val="0"/>
                                              <w:divBdr>
                                                <w:top w:val="none" w:sz="0" w:space="0" w:color="auto"/>
                                                <w:left w:val="none" w:sz="0" w:space="0" w:color="auto"/>
                                                <w:bottom w:val="none" w:sz="0" w:space="0" w:color="auto"/>
                                                <w:right w:val="none" w:sz="0" w:space="0" w:color="auto"/>
                                              </w:divBdr>
                                            </w:div>
                                            <w:div w:id="493381147">
                                              <w:marLeft w:val="0"/>
                                              <w:marRight w:val="0"/>
                                              <w:marTop w:val="0"/>
                                              <w:marBottom w:val="0"/>
                                              <w:divBdr>
                                                <w:top w:val="none" w:sz="0" w:space="0" w:color="auto"/>
                                                <w:left w:val="none" w:sz="0" w:space="0" w:color="auto"/>
                                                <w:bottom w:val="none" w:sz="0" w:space="0" w:color="auto"/>
                                                <w:right w:val="none" w:sz="0" w:space="0" w:color="auto"/>
                                              </w:divBdr>
                                              <w:divsChild>
                                                <w:div w:id="716393291">
                                                  <w:marLeft w:val="0"/>
                                                  <w:marRight w:val="0"/>
                                                  <w:marTop w:val="0"/>
                                                  <w:marBottom w:val="0"/>
                                                  <w:divBdr>
                                                    <w:top w:val="none" w:sz="0" w:space="0" w:color="auto"/>
                                                    <w:left w:val="none" w:sz="0" w:space="0" w:color="auto"/>
                                                    <w:bottom w:val="none" w:sz="0" w:space="0" w:color="auto"/>
                                                    <w:right w:val="none" w:sz="0" w:space="0" w:color="auto"/>
                                                  </w:divBdr>
                                                </w:div>
                                                <w:div w:id="507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3635">
                              <w:marLeft w:val="0"/>
                              <w:marRight w:val="0"/>
                              <w:marTop w:val="0"/>
                              <w:marBottom w:val="225"/>
                              <w:divBdr>
                                <w:top w:val="none" w:sz="0" w:space="0" w:color="auto"/>
                                <w:left w:val="none" w:sz="0" w:space="0" w:color="auto"/>
                                <w:bottom w:val="none" w:sz="0" w:space="0" w:color="auto"/>
                                <w:right w:val="none" w:sz="0" w:space="0" w:color="auto"/>
                              </w:divBdr>
                              <w:divsChild>
                                <w:div w:id="1308825375">
                                  <w:marLeft w:val="0"/>
                                  <w:marRight w:val="0"/>
                                  <w:marTop w:val="0"/>
                                  <w:marBottom w:val="0"/>
                                  <w:divBdr>
                                    <w:top w:val="single" w:sz="6" w:space="7" w:color="CCCCCC"/>
                                    <w:left w:val="single" w:sz="6" w:space="7" w:color="CCCCCC"/>
                                    <w:bottom w:val="single" w:sz="6" w:space="7" w:color="CCCCCC"/>
                                    <w:right w:val="single" w:sz="6" w:space="7" w:color="CCCCCC"/>
                                  </w:divBdr>
                                  <w:divsChild>
                                    <w:div w:id="16357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1392">
                              <w:marLeft w:val="0"/>
                              <w:marRight w:val="0"/>
                              <w:marTop w:val="0"/>
                              <w:marBottom w:val="225"/>
                              <w:divBdr>
                                <w:top w:val="none" w:sz="0" w:space="0" w:color="auto"/>
                                <w:left w:val="none" w:sz="0" w:space="0" w:color="auto"/>
                                <w:bottom w:val="none" w:sz="0" w:space="0" w:color="auto"/>
                                <w:right w:val="none" w:sz="0" w:space="0" w:color="auto"/>
                              </w:divBdr>
                              <w:divsChild>
                                <w:div w:id="1291204987">
                                  <w:marLeft w:val="0"/>
                                  <w:marRight w:val="0"/>
                                  <w:marTop w:val="0"/>
                                  <w:marBottom w:val="0"/>
                                  <w:divBdr>
                                    <w:top w:val="single" w:sz="6" w:space="7" w:color="CCCCCC"/>
                                    <w:left w:val="single" w:sz="6" w:space="7" w:color="CCCCCC"/>
                                    <w:bottom w:val="single" w:sz="6" w:space="7" w:color="CCCCCC"/>
                                    <w:right w:val="single" w:sz="6" w:space="7" w:color="CCCCCC"/>
                                  </w:divBdr>
                                  <w:divsChild>
                                    <w:div w:id="928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7539">
                              <w:marLeft w:val="0"/>
                              <w:marRight w:val="0"/>
                              <w:marTop w:val="0"/>
                              <w:marBottom w:val="225"/>
                              <w:divBdr>
                                <w:top w:val="none" w:sz="0" w:space="0" w:color="auto"/>
                                <w:left w:val="none" w:sz="0" w:space="0" w:color="auto"/>
                                <w:bottom w:val="none" w:sz="0" w:space="0" w:color="auto"/>
                                <w:right w:val="none" w:sz="0" w:space="0" w:color="auto"/>
                              </w:divBdr>
                              <w:divsChild>
                                <w:div w:id="554974179">
                                  <w:marLeft w:val="0"/>
                                  <w:marRight w:val="0"/>
                                  <w:marTop w:val="0"/>
                                  <w:marBottom w:val="0"/>
                                  <w:divBdr>
                                    <w:top w:val="single" w:sz="6" w:space="7" w:color="CCCCCC"/>
                                    <w:left w:val="single" w:sz="6" w:space="7" w:color="CCCCCC"/>
                                    <w:bottom w:val="single" w:sz="6" w:space="7" w:color="CCCCCC"/>
                                    <w:right w:val="single" w:sz="6" w:space="7" w:color="CCCCCC"/>
                                  </w:divBdr>
                                  <w:divsChild>
                                    <w:div w:id="3200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2452">
                              <w:marLeft w:val="0"/>
                              <w:marRight w:val="0"/>
                              <w:marTop w:val="0"/>
                              <w:marBottom w:val="225"/>
                              <w:divBdr>
                                <w:top w:val="none" w:sz="0" w:space="0" w:color="auto"/>
                                <w:left w:val="none" w:sz="0" w:space="0" w:color="auto"/>
                                <w:bottom w:val="none" w:sz="0" w:space="0" w:color="auto"/>
                                <w:right w:val="none" w:sz="0" w:space="0" w:color="auto"/>
                              </w:divBdr>
                              <w:divsChild>
                                <w:div w:id="157696961">
                                  <w:marLeft w:val="0"/>
                                  <w:marRight w:val="0"/>
                                  <w:marTop w:val="0"/>
                                  <w:marBottom w:val="0"/>
                                  <w:divBdr>
                                    <w:top w:val="single" w:sz="6" w:space="7" w:color="CCCCCC"/>
                                    <w:left w:val="single" w:sz="6" w:space="7" w:color="CCCCCC"/>
                                    <w:bottom w:val="single" w:sz="6" w:space="7" w:color="CCCCCC"/>
                                    <w:right w:val="single" w:sz="6" w:space="7" w:color="CCCCCC"/>
                                  </w:divBdr>
                                  <w:divsChild>
                                    <w:div w:id="1116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nyctap-cgi/nyctap.cgi?66+8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cornell.edu/nyctap-cgi/nyctap.cgi?4+1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cornell.edu/nyctap-cgi/nyctap.cgi?15+34" TargetMode="External"/><Relationship Id="rId11" Type="http://schemas.openxmlformats.org/officeDocument/2006/relationships/hyperlink" Target="http://www.law.cornell.edu/nyctap-cgi/ez-nylaw?GCT+2" TargetMode="External"/><Relationship Id="rId5" Type="http://schemas.openxmlformats.org/officeDocument/2006/relationships/hyperlink" Target="http://www.law.cornell.edu/supct-cgi/cfr-choice.cgi?40+141.70" TargetMode="External"/><Relationship Id="rId10" Type="http://schemas.openxmlformats.org/officeDocument/2006/relationships/hyperlink" Target="http://www.law.cornell.edu/nyctap-cgi/nyctap.cgi?66+833" TargetMode="External"/><Relationship Id="rId4" Type="http://schemas.openxmlformats.org/officeDocument/2006/relationships/webSettings" Target="webSettings.xml"/><Relationship Id="rId9" Type="http://schemas.openxmlformats.org/officeDocument/2006/relationships/hyperlink" Target="http://www.law.cornell.edu/nyctap-cgi/nyctap.cgi?15+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Argenti</cp:lastModifiedBy>
  <cp:revision>2</cp:revision>
  <dcterms:created xsi:type="dcterms:W3CDTF">2019-05-06T05:05:00Z</dcterms:created>
  <dcterms:modified xsi:type="dcterms:W3CDTF">2019-05-06T05:05:00Z</dcterms:modified>
</cp:coreProperties>
</file>