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2B29" w14:textId="0520CE6A" w:rsidR="0035506B" w:rsidRPr="003E3A2D" w:rsidRDefault="00C87F5F" w:rsidP="00C87F5F">
      <w:pPr>
        <w:spacing w:after="0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 middle of 2022, t</w:t>
      </w:r>
      <w:r w:rsidR="009C73C8" w:rsidRPr="003E3A2D">
        <w:rPr>
          <w:rFonts w:ascii="Garamond" w:hAnsi="Garamond"/>
          <w:sz w:val="24"/>
          <w:szCs w:val="24"/>
        </w:rPr>
        <w:t xml:space="preserve">he </w:t>
      </w:r>
      <w:r>
        <w:rPr>
          <w:rFonts w:ascii="Garamond" w:hAnsi="Garamond"/>
          <w:sz w:val="24"/>
          <w:szCs w:val="24"/>
        </w:rPr>
        <w:t xml:space="preserve">mayor formed the </w:t>
      </w:r>
      <w:r w:rsidR="009C73C8" w:rsidRPr="003E3A2D">
        <w:rPr>
          <w:rFonts w:ascii="Garamond" w:hAnsi="Garamond"/>
          <w:b/>
          <w:bCs/>
          <w:sz w:val="24"/>
          <w:szCs w:val="24"/>
        </w:rPr>
        <w:t>Get Stuff Built</w:t>
      </w:r>
      <w:r w:rsidR="009C73C8" w:rsidRPr="003E3A2D">
        <w:rPr>
          <w:rFonts w:ascii="Garamond" w:hAnsi="Garamond"/>
          <w:sz w:val="24"/>
          <w:szCs w:val="24"/>
        </w:rPr>
        <w:t xml:space="preserve"> committee</w:t>
      </w:r>
      <w:r>
        <w:rPr>
          <w:rFonts w:ascii="Garamond" w:hAnsi="Garamond"/>
          <w:sz w:val="24"/>
          <w:szCs w:val="24"/>
        </w:rPr>
        <w:t>,</w:t>
      </w:r>
      <w:r w:rsidR="009C73C8" w:rsidRPr="003E3A2D">
        <w:rPr>
          <w:rFonts w:ascii="Garamond" w:hAnsi="Garamond"/>
          <w:sz w:val="24"/>
          <w:szCs w:val="24"/>
        </w:rPr>
        <w:t xml:space="preserve"> consist</w:t>
      </w:r>
      <w:r>
        <w:rPr>
          <w:rFonts w:ascii="Garamond" w:hAnsi="Garamond"/>
          <w:sz w:val="24"/>
          <w:szCs w:val="24"/>
        </w:rPr>
        <w:t>ing</w:t>
      </w:r>
      <w:r w:rsidR="009C73C8" w:rsidRPr="003E3A2D">
        <w:rPr>
          <w:rFonts w:ascii="Garamond" w:hAnsi="Garamond"/>
          <w:sz w:val="24"/>
          <w:szCs w:val="24"/>
        </w:rPr>
        <w:t xml:space="preserve"> of 25 NYC agencies under mayoral jurisdiction</w:t>
      </w:r>
      <w:r>
        <w:rPr>
          <w:rFonts w:ascii="Garamond" w:hAnsi="Garamond"/>
          <w:sz w:val="24"/>
          <w:szCs w:val="24"/>
        </w:rPr>
        <w:t xml:space="preserve"> --</w:t>
      </w:r>
      <w:r w:rsidR="000D6D73" w:rsidRPr="003E3A2D">
        <w:rPr>
          <w:rFonts w:ascii="Garamond" w:hAnsi="Garamond"/>
          <w:sz w:val="24"/>
          <w:szCs w:val="24"/>
        </w:rPr>
        <w:t xml:space="preserve"> but</w:t>
      </w:r>
      <w:r>
        <w:rPr>
          <w:rFonts w:ascii="Garamond" w:hAnsi="Garamond"/>
          <w:sz w:val="24"/>
          <w:szCs w:val="24"/>
        </w:rPr>
        <w:t xml:space="preserve"> not</w:t>
      </w:r>
      <w:r w:rsidR="000D6D73" w:rsidRPr="003E3A2D">
        <w:rPr>
          <w:rFonts w:ascii="Garamond" w:hAnsi="Garamond"/>
          <w:sz w:val="24"/>
          <w:szCs w:val="24"/>
        </w:rPr>
        <w:t xml:space="preserve"> t</w:t>
      </w:r>
      <w:r w:rsidR="009C73C8" w:rsidRPr="003E3A2D">
        <w:rPr>
          <w:rFonts w:ascii="Garamond" w:hAnsi="Garamond"/>
          <w:sz w:val="24"/>
          <w:szCs w:val="24"/>
        </w:rPr>
        <w:t>he Office of Emergency Management</w:t>
      </w:r>
      <w:r>
        <w:rPr>
          <w:rFonts w:ascii="Garamond" w:hAnsi="Garamond"/>
          <w:sz w:val="24"/>
          <w:szCs w:val="24"/>
        </w:rPr>
        <w:t>. This was joined by a</w:t>
      </w:r>
      <w:r w:rsidR="000D6D73" w:rsidRPr="003E3A2D">
        <w:rPr>
          <w:rFonts w:ascii="Garamond" w:hAnsi="Garamond"/>
          <w:sz w:val="24"/>
          <w:szCs w:val="24"/>
        </w:rPr>
        <w:t xml:space="preserve"> 75-person</w:t>
      </w:r>
      <w:r w:rsidR="009C73C8" w:rsidRPr="003E3A2D">
        <w:rPr>
          <w:rFonts w:ascii="Garamond" w:hAnsi="Garamond"/>
          <w:sz w:val="24"/>
          <w:szCs w:val="24"/>
        </w:rPr>
        <w:t xml:space="preserve"> stakeholder group</w:t>
      </w:r>
      <w:r>
        <w:rPr>
          <w:rFonts w:ascii="Garamond" w:hAnsi="Garamond"/>
          <w:sz w:val="24"/>
          <w:szCs w:val="24"/>
        </w:rPr>
        <w:t xml:space="preserve"> of </w:t>
      </w:r>
      <w:r w:rsidR="009C73C8" w:rsidRPr="003E3A2D">
        <w:rPr>
          <w:rFonts w:ascii="Garamond" w:hAnsi="Garamond"/>
          <w:sz w:val="24"/>
          <w:szCs w:val="24"/>
        </w:rPr>
        <w:t>business people in various fields</w:t>
      </w:r>
      <w:r w:rsidR="000D6D73" w:rsidRPr="003E3A2D">
        <w:rPr>
          <w:rFonts w:ascii="Garamond" w:hAnsi="Garamond"/>
          <w:sz w:val="24"/>
          <w:szCs w:val="24"/>
        </w:rPr>
        <w:t xml:space="preserve">, </w:t>
      </w:r>
      <w:r w:rsidR="009C73C8" w:rsidRPr="003E3A2D">
        <w:rPr>
          <w:rFonts w:ascii="Garamond" w:hAnsi="Garamond"/>
          <w:sz w:val="24"/>
          <w:szCs w:val="24"/>
        </w:rPr>
        <w:t>including Building Department</w:t>
      </w:r>
      <w:r w:rsidR="000D6D73" w:rsidRPr="003E3A2D">
        <w:rPr>
          <w:rFonts w:ascii="Garamond" w:hAnsi="Garamond"/>
          <w:sz w:val="24"/>
          <w:szCs w:val="24"/>
        </w:rPr>
        <w:t>s</w:t>
      </w:r>
      <w:r w:rsidR="009C73C8" w:rsidRPr="003E3A2D">
        <w:rPr>
          <w:rFonts w:ascii="Garamond" w:hAnsi="Garamond"/>
          <w:sz w:val="24"/>
          <w:szCs w:val="24"/>
        </w:rPr>
        <w:t xml:space="preserve"> from cities around the nation</w:t>
      </w:r>
      <w:r w:rsidR="000D6D73" w:rsidRPr="003E3A2D">
        <w:rPr>
          <w:rFonts w:ascii="Garamond" w:hAnsi="Garamond"/>
          <w:sz w:val="24"/>
          <w:szCs w:val="24"/>
        </w:rPr>
        <w:t>, corporations, real estate industry, contractors, and bankers</w:t>
      </w:r>
      <w:r>
        <w:rPr>
          <w:rFonts w:ascii="Garamond" w:hAnsi="Garamond"/>
          <w:sz w:val="24"/>
          <w:szCs w:val="24"/>
        </w:rPr>
        <w:t xml:space="preserve"> --</w:t>
      </w:r>
      <w:r w:rsidR="000D6D73" w:rsidRPr="003E3A2D">
        <w:rPr>
          <w:rFonts w:ascii="Garamond" w:hAnsi="Garamond"/>
          <w:sz w:val="24"/>
          <w:szCs w:val="24"/>
        </w:rPr>
        <w:t xml:space="preserve"> but </w:t>
      </w:r>
      <w:r w:rsidR="009C73C8" w:rsidRPr="003E3A2D">
        <w:rPr>
          <w:rFonts w:ascii="Garamond" w:hAnsi="Garamond"/>
          <w:sz w:val="24"/>
          <w:szCs w:val="24"/>
        </w:rPr>
        <w:t>no public, public leaders, or any public participation</w:t>
      </w:r>
      <w:r w:rsidR="000D6D73" w:rsidRPr="003E3A2D">
        <w:rPr>
          <w:rFonts w:ascii="Garamond" w:hAnsi="Garamond"/>
          <w:sz w:val="24"/>
          <w:szCs w:val="24"/>
        </w:rPr>
        <w:t>. Together, they</w:t>
      </w:r>
      <w:r w:rsidR="009C73C8" w:rsidRPr="003E3A2D">
        <w:rPr>
          <w:rFonts w:ascii="Garamond" w:hAnsi="Garamond"/>
          <w:sz w:val="24"/>
          <w:szCs w:val="24"/>
        </w:rPr>
        <w:t xml:space="preserve"> </w:t>
      </w:r>
      <w:r w:rsidR="000D6D73" w:rsidRPr="003E3A2D">
        <w:rPr>
          <w:rFonts w:ascii="Garamond" w:hAnsi="Garamond"/>
          <w:sz w:val="24"/>
          <w:szCs w:val="24"/>
        </w:rPr>
        <w:t xml:space="preserve">created </w:t>
      </w:r>
      <w:r w:rsidR="009C73C8" w:rsidRPr="003E3A2D">
        <w:rPr>
          <w:rFonts w:ascii="Garamond" w:hAnsi="Garamond"/>
          <w:sz w:val="24"/>
          <w:szCs w:val="24"/>
        </w:rPr>
        <w:t>111 concrete actions to change our zoning</w:t>
      </w:r>
      <w:r w:rsidR="000D6D73" w:rsidRPr="003E3A2D">
        <w:rPr>
          <w:rFonts w:ascii="Garamond" w:hAnsi="Garamond"/>
          <w:sz w:val="24"/>
          <w:szCs w:val="24"/>
        </w:rPr>
        <w:t xml:space="preserve">, known as the </w:t>
      </w:r>
      <w:r w:rsidR="009C73C8" w:rsidRPr="003E3A2D">
        <w:rPr>
          <w:rFonts w:ascii="Garamond" w:hAnsi="Garamond"/>
          <w:b/>
          <w:bCs/>
          <w:sz w:val="24"/>
          <w:szCs w:val="24"/>
        </w:rPr>
        <w:t>Building &amp; Land Use Approval Streamlining Taskforce</w:t>
      </w:r>
      <w:r w:rsidR="009C73C8" w:rsidRPr="003E3A2D">
        <w:rPr>
          <w:rFonts w:ascii="Garamond" w:hAnsi="Garamond"/>
          <w:sz w:val="24"/>
          <w:szCs w:val="24"/>
        </w:rPr>
        <w:t xml:space="preserve"> (BLAS</w:t>
      </w:r>
      <w:r w:rsidR="000D6D73" w:rsidRPr="003E3A2D">
        <w:rPr>
          <w:rFonts w:ascii="Garamond" w:hAnsi="Garamond"/>
          <w:sz w:val="24"/>
          <w:szCs w:val="24"/>
        </w:rPr>
        <w:t>T</w:t>
      </w:r>
      <w:r w:rsidR="009C73C8" w:rsidRPr="003E3A2D">
        <w:rPr>
          <w:rFonts w:ascii="Garamond" w:hAnsi="Garamond"/>
          <w:sz w:val="24"/>
          <w:szCs w:val="24"/>
        </w:rPr>
        <w:t>)</w:t>
      </w:r>
      <w:r w:rsidR="000D6D73" w:rsidRPr="003E3A2D">
        <w:rPr>
          <w:rFonts w:ascii="Garamond" w:hAnsi="Garamond"/>
          <w:sz w:val="24"/>
          <w:szCs w:val="24"/>
        </w:rPr>
        <w:t xml:space="preserve"> Report.</w:t>
      </w:r>
      <w:r w:rsidR="0035506B" w:rsidRPr="003E3A2D">
        <w:rPr>
          <w:rFonts w:ascii="Garamond" w:hAnsi="Garamond"/>
          <w:sz w:val="24"/>
          <w:szCs w:val="24"/>
        </w:rPr>
        <w:t xml:space="preserve"> </w:t>
      </w:r>
      <w:r w:rsidR="000D6D73" w:rsidRPr="003E3A2D">
        <w:rPr>
          <w:rFonts w:ascii="Garamond" w:hAnsi="Garamond"/>
          <w:sz w:val="24"/>
          <w:szCs w:val="24"/>
        </w:rPr>
        <w:t xml:space="preserve">The </w:t>
      </w:r>
      <w:r w:rsidR="00280943" w:rsidRPr="003E3A2D">
        <w:rPr>
          <w:rFonts w:ascii="Garamond" w:hAnsi="Garamond"/>
          <w:b/>
          <w:bCs/>
          <w:sz w:val="24"/>
          <w:szCs w:val="24"/>
        </w:rPr>
        <w:t>Sustainab</w:t>
      </w:r>
      <w:r>
        <w:rPr>
          <w:rFonts w:ascii="Garamond" w:hAnsi="Garamond"/>
          <w:b/>
          <w:bCs/>
          <w:sz w:val="24"/>
          <w:szCs w:val="24"/>
        </w:rPr>
        <w:t>ility</w:t>
      </w:r>
      <w:r w:rsidR="000D6D73" w:rsidRPr="003E3A2D">
        <w:rPr>
          <w:rFonts w:ascii="Garamond" w:hAnsi="Garamond"/>
          <w:sz w:val="24"/>
          <w:szCs w:val="24"/>
        </w:rPr>
        <w:t xml:space="preserve"> part </w:t>
      </w:r>
      <w:r>
        <w:rPr>
          <w:rFonts w:ascii="Garamond" w:hAnsi="Garamond"/>
          <w:sz w:val="24"/>
          <w:szCs w:val="24"/>
        </w:rPr>
        <w:t>already</w:t>
      </w:r>
      <w:r w:rsidR="00280943" w:rsidRPr="003E3A2D">
        <w:rPr>
          <w:rFonts w:ascii="Garamond" w:hAnsi="Garamond"/>
          <w:sz w:val="24"/>
          <w:szCs w:val="24"/>
        </w:rPr>
        <w:t xml:space="preserve"> </w:t>
      </w:r>
      <w:r w:rsidR="000D6D73" w:rsidRPr="003E3A2D">
        <w:rPr>
          <w:rFonts w:ascii="Garamond" w:hAnsi="Garamond"/>
          <w:sz w:val="24"/>
          <w:szCs w:val="24"/>
        </w:rPr>
        <w:t>passed all approvals</w:t>
      </w:r>
      <w:r>
        <w:rPr>
          <w:rFonts w:ascii="Garamond" w:hAnsi="Garamond"/>
          <w:sz w:val="24"/>
          <w:szCs w:val="24"/>
        </w:rPr>
        <w:t>, despite its lack of the existing carbon base to measure the “goal” of neutrality</w:t>
      </w:r>
      <w:r w:rsidR="000D6D73" w:rsidRPr="003E3A2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Other proposals have passed as well, that is -- </w:t>
      </w:r>
      <w:r w:rsidR="000C0FD4" w:rsidRPr="003E3A2D">
        <w:rPr>
          <w:rFonts w:ascii="Garamond" w:hAnsi="Garamond"/>
          <w:sz w:val="24"/>
          <w:szCs w:val="24"/>
        </w:rPr>
        <w:t>individual proposal to remove public participation in environmental review SEQRA (Green Fast Track for Housing) and ULURP (Casinos).</w:t>
      </w:r>
    </w:p>
    <w:p w14:paraId="1D188CE4" w14:textId="77777777" w:rsidR="0035506B" w:rsidRPr="003E3A2D" w:rsidRDefault="0035506B" w:rsidP="000C0FD4">
      <w:pPr>
        <w:spacing w:after="0"/>
        <w:ind w:firstLine="720"/>
        <w:jc w:val="both"/>
        <w:rPr>
          <w:rFonts w:ascii="Garamond" w:hAnsi="Garamond"/>
          <w:sz w:val="18"/>
          <w:szCs w:val="18"/>
        </w:rPr>
      </w:pPr>
    </w:p>
    <w:p w14:paraId="337E5292" w14:textId="1E274F05" w:rsidR="00280943" w:rsidRDefault="000D6D73" w:rsidP="000C0FD4">
      <w:pPr>
        <w:spacing w:after="0"/>
        <w:ind w:firstLine="720"/>
        <w:jc w:val="both"/>
        <w:rPr>
          <w:rFonts w:ascii="Garamond" w:hAnsi="Garamond"/>
          <w:sz w:val="24"/>
          <w:szCs w:val="24"/>
        </w:rPr>
      </w:pPr>
      <w:r w:rsidRPr="003E3A2D">
        <w:rPr>
          <w:rFonts w:ascii="Garamond" w:hAnsi="Garamond"/>
          <w:sz w:val="24"/>
          <w:szCs w:val="24"/>
        </w:rPr>
        <w:t xml:space="preserve">The current </w:t>
      </w:r>
      <w:r w:rsidR="00280943" w:rsidRPr="003E3A2D">
        <w:rPr>
          <w:rFonts w:ascii="Garamond" w:hAnsi="Garamond"/>
          <w:sz w:val="24"/>
          <w:szCs w:val="24"/>
        </w:rPr>
        <w:t>milestone,</w:t>
      </w:r>
      <w:r w:rsidRPr="003E3A2D">
        <w:rPr>
          <w:rFonts w:ascii="Garamond" w:hAnsi="Garamond"/>
          <w:sz w:val="24"/>
          <w:szCs w:val="24"/>
        </w:rPr>
        <w:t xml:space="preserve"> on the </w:t>
      </w:r>
      <w:r w:rsidRPr="003E3A2D">
        <w:rPr>
          <w:rFonts w:ascii="Garamond" w:hAnsi="Garamond"/>
          <w:b/>
          <w:bCs/>
          <w:sz w:val="24"/>
          <w:szCs w:val="24"/>
        </w:rPr>
        <w:t xml:space="preserve">Economic </w:t>
      </w:r>
      <w:r w:rsidR="00280943" w:rsidRPr="003E3A2D">
        <w:rPr>
          <w:rFonts w:ascii="Garamond" w:hAnsi="Garamond"/>
          <w:b/>
          <w:bCs/>
          <w:sz w:val="24"/>
          <w:szCs w:val="24"/>
        </w:rPr>
        <w:t>Opportunity</w:t>
      </w:r>
      <w:r w:rsidR="00280943" w:rsidRPr="003E3A2D">
        <w:rPr>
          <w:rFonts w:ascii="Garamond" w:hAnsi="Garamond"/>
          <w:sz w:val="24"/>
          <w:szCs w:val="24"/>
        </w:rPr>
        <w:t>, centers around the New York City Council – we expect hearings and a vote in March.  More than half the city’s community boards noted problems with the 18 proposals.</w:t>
      </w:r>
      <w:r w:rsidR="0035506B" w:rsidRPr="003E3A2D">
        <w:rPr>
          <w:rFonts w:ascii="Garamond" w:hAnsi="Garamond"/>
          <w:sz w:val="24"/>
          <w:szCs w:val="24"/>
        </w:rPr>
        <w:t xml:space="preserve">  </w:t>
      </w:r>
      <w:r w:rsidR="00280943" w:rsidRPr="003E3A2D">
        <w:rPr>
          <w:rFonts w:ascii="Garamond" w:hAnsi="Garamond"/>
          <w:sz w:val="24"/>
          <w:szCs w:val="24"/>
        </w:rPr>
        <w:t xml:space="preserve">Some </w:t>
      </w:r>
      <w:r w:rsidR="00F763EB" w:rsidRPr="003E3A2D">
        <w:rPr>
          <w:rFonts w:ascii="Garamond" w:hAnsi="Garamond"/>
          <w:sz w:val="24"/>
          <w:szCs w:val="24"/>
        </w:rPr>
        <w:t xml:space="preserve">of those proposals </w:t>
      </w:r>
      <w:r w:rsidR="00280943" w:rsidRPr="003E3A2D">
        <w:rPr>
          <w:rFonts w:ascii="Garamond" w:hAnsi="Garamond"/>
          <w:sz w:val="24"/>
          <w:szCs w:val="24"/>
        </w:rPr>
        <w:t xml:space="preserve">expand commercial types and sizes in local shopping areas.  </w:t>
      </w:r>
      <w:r w:rsidR="00F763EB" w:rsidRPr="003E3A2D">
        <w:rPr>
          <w:rFonts w:ascii="Garamond" w:hAnsi="Garamond"/>
          <w:sz w:val="24"/>
          <w:szCs w:val="24"/>
        </w:rPr>
        <w:t>Others allow</w:t>
      </w:r>
      <w:r w:rsidR="00280943" w:rsidRPr="003E3A2D">
        <w:rPr>
          <w:rFonts w:ascii="Garamond" w:hAnsi="Garamond"/>
          <w:sz w:val="24"/>
          <w:szCs w:val="24"/>
        </w:rPr>
        <w:t xml:space="preserve"> new commercial uses in residential areas. </w:t>
      </w:r>
      <w:r w:rsidR="00F763EB" w:rsidRPr="003E3A2D">
        <w:rPr>
          <w:rFonts w:ascii="Garamond" w:hAnsi="Garamond"/>
          <w:sz w:val="24"/>
          <w:szCs w:val="24"/>
        </w:rPr>
        <w:t>(</w:t>
      </w:r>
      <w:r w:rsidR="00A06BB1" w:rsidRPr="003E3A2D">
        <w:rPr>
          <w:rFonts w:ascii="Garamond" w:hAnsi="Garamond"/>
          <w:sz w:val="24"/>
          <w:szCs w:val="24"/>
        </w:rPr>
        <w:t>As you know, commercial overlays are found in R1-R7 zones.</w:t>
      </w:r>
      <w:r w:rsidR="00F763EB" w:rsidRPr="003E3A2D">
        <w:rPr>
          <w:rFonts w:ascii="Garamond" w:hAnsi="Garamond"/>
          <w:sz w:val="24"/>
          <w:szCs w:val="24"/>
        </w:rPr>
        <w:t>) Here are some examples of the changes:</w:t>
      </w:r>
    </w:p>
    <w:p w14:paraId="3D8A957C" w14:textId="77777777" w:rsidR="00C87F5F" w:rsidRPr="00C87F5F" w:rsidRDefault="00C87F5F" w:rsidP="000C0FD4">
      <w:pPr>
        <w:spacing w:after="0"/>
        <w:ind w:firstLine="720"/>
        <w:jc w:val="both"/>
        <w:rPr>
          <w:rFonts w:ascii="Garamond" w:hAnsi="Garamond"/>
          <w:sz w:val="16"/>
          <w:szCs w:val="16"/>
        </w:rPr>
      </w:pPr>
    </w:p>
    <w:p w14:paraId="16EEAC5F" w14:textId="568AFD19" w:rsidR="00A06BB1" w:rsidRPr="003E3A2D" w:rsidRDefault="00A06BB1" w:rsidP="00C87F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FC6D51">
        <w:rPr>
          <w:rFonts w:ascii="Garamond" w:hAnsi="Garamond"/>
          <w:b/>
          <w:bCs/>
          <w:sz w:val="24"/>
          <w:szCs w:val="24"/>
          <w:highlight w:val="yellow"/>
        </w:rPr>
        <w:t>Home Businesses</w:t>
      </w:r>
      <w:r w:rsidRPr="003E3A2D">
        <w:rPr>
          <w:rFonts w:ascii="Garamond" w:hAnsi="Garamond"/>
          <w:sz w:val="24"/>
          <w:szCs w:val="24"/>
        </w:rPr>
        <w:t xml:space="preserve"> exceptions</w:t>
      </w:r>
      <w:r w:rsidR="00F763EB" w:rsidRPr="003E3A2D">
        <w:rPr>
          <w:rFonts w:ascii="Garamond" w:hAnsi="Garamond"/>
          <w:sz w:val="24"/>
          <w:szCs w:val="24"/>
        </w:rPr>
        <w:t xml:space="preserve"> were removed.  Now y</w:t>
      </w:r>
      <w:r w:rsidRPr="003E3A2D">
        <w:rPr>
          <w:rFonts w:ascii="Garamond" w:hAnsi="Garamond"/>
          <w:sz w:val="24"/>
          <w:szCs w:val="24"/>
        </w:rPr>
        <w:t xml:space="preserve">ou can have up to 3 employees, and use 49% of the home area. </w:t>
      </w:r>
      <w:r w:rsidR="00F763EB" w:rsidRPr="003E3A2D">
        <w:rPr>
          <w:rFonts w:ascii="Garamond" w:hAnsi="Garamond"/>
          <w:sz w:val="24"/>
          <w:szCs w:val="24"/>
        </w:rPr>
        <w:t xml:space="preserve">This includes </w:t>
      </w:r>
      <w:r w:rsidR="00F763EB" w:rsidRPr="003E3A2D">
        <w:rPr>
          <w:rFonts w:ascii="Garamond" w:hAnsi="Garamond"/>
          <w:b/>
          <w:bCs/>
          <w:sz w:val="24"/>
          <w:szCs w:val="24"/>
        </w:rPr>
        <w:t>apartment</w:t>
      </w:r>
      <w:r w:rsidR="00F763EB" w:rsidRPr="003E3A2D">
        <w:rPr>
          <w:rFonts w:ascii="Garamond" w:hAnsi="Garamond"/>
          <w:sz w:val="24"/>
          <w:szCs w:val="24"/>
        </w:rPr>
        <w:t xml:space="preserve"> buildings, coops and condominiums.</w:t>
      </w:r>
    </w:p>
    <w:p w14:paraId="6F74197F" w14:textId="654A1510" w:rsidR="00F763EB" w:rsidRPr="003E3A2D" w:rsidRDefault="00F763EB" w:rsidP="00C87F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3E3A2D">
        <w:rPr>
          <w:rFonts w:ascii="Garamond" w:hAnsi="Garamond"/>
          <w:b/>
          <w:bCs/>
          <w:sz w:val="24"/>
          <w:szCs w:val="24"/>
        </w:rPr>
        <w:t>Campus Plan</w:t>
      </w:r>
      <w:r w:rsidRPr="003E3A2D">
        <w:rPr>
          <w:rFonts w:ascii="Garamond" w:hAnsi="Garamond"/>
          <w:sz w:val="24"/>
          <w:szCs w:val="24"/>
        </w:rPr>
        <w:t xml:space="preserve"> concerns up to 15,000 SF of commercial on 1.5 acre lots in residential areas.  This is not just in NYCHA, but other </w:t>
      </w:r>
      <w:r w:rsidRPr="003E3A2D">
        <w:rPr>
          <w:rFonts w:ascii="Garamond" w:hAnsi="Garamond"/>
          <w:b/>
          <w:bCs/>
          <w:sz w:val="24"/>
          <w:szCs w:val="24"/>
        </w:rPr>
        <w:t>residentia</w:t>
      </w:r>
      <w:r w:rsidRPr="003E3A2D">
        <w:rPr>
          <w:rFonts w:ascii="Garamond" w:hAnsi="Garamond"/>
          <w:sz w:val="24"/>
          <w:szCs w:val="24"/>
        </w:rPr>
        <w:t>l areas, where you can combine lots even those across the street.</w:t>
      </w:r>
    </w:p>
    <w:p w14:paraId="55A71A59" w14:textId="5BF0DD5F" w:rsidR="00F763EB" w:rsidRPr="003E3A2D" w:rsidRDefault="00F763EB" w:rsidP="00C87F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3E3A2D">
        <w:rPr>
          <w:rFonts w:ascii="Garamond" w:hAnsi="Garamond"/>
          <w:b/>
          <w:bCs/>
          <w:sz w:val="24"/>
          <w:szCs w:val="24"/>
        </w:rPr>
        <w:t>Commercial use expansions</w:t>
      </w:r>
      <w:r w:rsidRPr="003E3A2D">
        <w:rPr>
          <w:rFonts w:ascii="Garamond" w:hAnsi="Garamond"/>
          <w:sz w:val="24"/>
          <w:szCs w:val="24"/>
        </w:rPr>
        <w:t xml:space="preserve"> to the second floor in commercial areas. Some are </w:t>
      </w:r>
      <w:r w:rsidRPr="003E3A2D">
        <w:rPr>
          <w:rFonts w:ascii="Garamond" w:hAnsi="Garamond"/>
          <w:b/>
          <w:bCs/>
          <w:sz w:val="24"/>
          <w:szCs w:val="24"/>
        </w:rPr>
        <w:t>residentia</w:t>
      </w:r>
      <w:r w:rsidRPr="003E3A2D">
        <w:rPr>
          <w:rFonts w:ascii="Garamond" w:hAnsi="Garamond"/>
          <w:sz w:val="24"/>
          <w:szCs w:val="24"/>
        </w:rPr>
        <w:t>l now.</w:t>
      </w:r>
    </w:p>
    <w:p w14:paraId="63EB3E48" w14:textId="6FAA7A74" w:rsidR="00F763EB" w:rsidRPr="003E3A2D" w:rsidRDefault="00A123E2" w:rsidP="00C87F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FC6D51">
        <w:rPr>
          <w:rFonts w:ascii="Garamond" w:hAnsi="Garamond"/>
          <w:b/>
          <w:bCs/>
          <w:sz w:val="24"/>
          <w:szCs w:val="24"/>
          <w:highlight w:val="yellow"/>
        </w:rPr>
        <w:t xml:space="preserve">Small Scale </w:t>
      </w:r>
      <w:r w:rsidR="0035506B" w:rsidRPr="00FC6D51">
        <w:rPr>
          <w:rFonts w:ascii="Garamond" w:hAnsi="Garamond"/>
          <w:b/>
          <w:bCs/>
          <w:sz w:val="24"/>
          <w:szCs w:val="24"/>
          <w:highlight w:val="yellow"/>
        </w:rPr>
        <w:t>P</w:t>
      </w:r>
      <w:r w:rsidRPr="00FC6D51">
        <w:rPr>
          <w:rFonts w:ascii="Garamond" w:hAnsi="Garamond"/>
          <w:b/>
          <w:bCs/>
          <w:sz w:val="24"/>
          <w:szCs w:val="24"/>
          <w:highlight w:val="yellow"/>
        </w:rPr>
        <w:t>roduction</w:t>
      </w:r>
      <w:r w:rsidRPr="003E3A2D">
        <w:rPr>
          <w:rFonts w:ascii="Garamond" w:hAnsi="Garamond"/>
          <w:sz w:val="24"/>
          <w:szCs w:val="24"/>
        </w:rPr>
        <w:t xml:space="preserve"> in C1 &amp; C2 (lower density residential areas), </w:t>
      </w:r>
      <w:r w:rsidR="0035506B" w:rsidRPr="003E3A2D">
        <w:rPr>
          <w:rFonts w:ascii="Garamond" w:hAnsi="Garamond"/>
          <w:sz w:val="24"/>
          <w:szCs w:val="24"/>
        </w:rPr>
        <w:t>with</w:t>
      </w:r>
      <w:r w:rsidRPr="003E3A2D">
        <w:rPr>
          <w:rFonts w:ascii="Garamond" w:hAnsi="Garamond"/>
          <w:sz w:val="24"/>
          <w:szCs w:val="24"/>
        </w:rPr>
        <w:t xml:space="preserve"> no size expansion on second floors.</w:t>
      </w:r>
    </w:p>
    <w:p w14:paraId="0602E621" w14:textId="703B90EA" w:rsidR="00A123E2" w:rsidRPr="003E3A2D" w:rsidRDefault="00A123E2" w:rsidP="00C87F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FC6D51">
        <w:rPr>
          <w:rFonts w:ascii="Garamond" w:hAnsi="Garamond"/>
          <w:b/>
          <w:bCs/>
          <w:sz w:val="24"/>
          <w:szCs w:val="24"/>
          <w:highlight w:val="yellow"/>
        </w:rPr>
        <w:t>Growing Industries</w:t>
      </w:r>
      <w:r w:rsidRPr="003E3A2D">
        <w:rPr>
          <w:rFonts w:ascii="Garamond" w:hAnsi="Garamond"/>
          <w:b/>
          <w:bCs/>
          <w:sz w:val="24"/>
          <w:szCs w:val="24"/>
        </w:rPr>
        <w:t>:</w:t>
      </w:r>
      <w:r w:rsidRPr="003E3A2D">
        <w:rPr>
          <w:rFonts w:ascii="Garamond" w:hAnsi="Garamond"/>
          <w:sz w:val="24"/>
          <w:szCs w:val="24"/>
        </w:rPr>
        <w:t xml:space="preserve">  Urban Agriculture, Life Sciences (labs), Night Life in our </w:t>
      </w:r>
      <w:r w:rsidRPr="00FC6D51">
        <w:rPr>
          <w:rFonts w:ascii="Garamond" w:hAnsi="Garamond"/>
          <w:sz w:val="24"/>
          <w:szCs w:val="24"/>
          <w:highlight w:val="yellow"/>
        </w:rPr>
        <w:t>commercial areas</w:t>
      </w:r>
      <w:r w:rsidRPr="003E3A2D">
        <w:rPr>
          <w:rFonts w:ascii="Garamond" w:hAnsi="Garamond"/>
          <w:sz w:val="24"/>
          <w:szCs w:val="24"/>
        </w:rPr>
        <w:t>, Micro-Distribution (mini warehouses aka ‘dark stores’)</w:t>
      </w:r>
    </w:p>
    <w:p w14:paraId="25B22B8A" w14:textId="2670B854" w:rsidR="00A123E2" w:rsidRPr="003E3A2D" w:rsidRDefault="00A123E2" w:rsidP="00C87F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FC6D51">
        <w:rPr>
          <w:rFonts w:ascii="Garamond" w:hAnsi="Garamond"/>
          <w:b/>
          <w:bCs/>
          <w:sz w:val="24"/>
          <w:szCs w:val="24"/>
          <w:highlight w:val="yellow"/>
        </w:rPr>
        <w:t>Corner Store</w:t>
      </w:r>
      <w:r w:rsidRPr="003E3A2D">
        <w:rPr>
          <w:rFonts w:ascii="Garamond" w:hAnsi="Garamond"/>
          <w:sz w:val="24"/>
          <w:szCs w:val="24"/>
        </w:rPr>
        <w:t xml:space="preserve"> concerns commercial expansion </w:t>
      </w:r>
      <w:r w:rsidRPr="003E3A2D">
        <w:rPr>
          <w:rFonts w:ascii="Garamond" w:hAnsi="Garamond"/>
          <w:b/>
          <w:bCs/>
          <w:sz w:val="24"/>
          <w:szCs w:val="24"/>
        </w:rPr>
        <w:t>in residential</w:t>
      </w:r>
      <w:r w:rsidRPr="003E3A2D">
        <w:rPr>
          <w:rFonts w:ascii="Garamond" w:hAnsi="Garamond"/>
          <w:sz w:val="24"/>
          <w:szCs w:val="24"/>
        </w:rPr>
        <w:t xml:space="preserve"> area up to 2,500 SF.</w:t>
      </w:r>
    </w:p>
    <w:p w14:paraId="62E9FAEF" w14:textId="5CBE7A2E" w:rsidR="00A123E2" w:rsidRPr="003E3A2D" w:rsidRDefault="00A123E2" w:rsidP="00C87F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3E3A2D">
        <w:rPr>
          <w:rFonts w:ascii="Garamond" w:hAnsi="Garamond"/>
          <w:b/>
          <w:bCs/>
          <w:sz w:val="24"/>
          <w:szCs w:val="24"/>
        </w:rPr>
        <w:t>Other</w:t>
      </w:r>
      <w:r w:rsidRPr="003E3A2D">
        <w:rPr>
          <w:rFonts w:ascii="Garamond" w:hAnsi="Garamond"/>
          <w:sz w:val="24"/>
          <w:szCs w:val="24"/>
        </w:rPr>
        <w:t xml:space="preserve"> changes to incorporating uses and types and raising the FAR.</w:t>
      </w:r>
    </w:p>
    <w:p w14:paraId="0147B5E0" w14:textId="77777777" w:rsidR="0035506B" w:rsidRPr="00C87F5F" w:rsidRDefault="0035506B" w:rsidP="000C0FD4">
      <w:pPr>
        <w:spacing w:after="0"/>
        <w:ind w:left="360"/>
        <w:jc w:val="both"/>
        <w:rPr>
          <w:rFonts w:ascii="Garamond" w:hAnsi="Garamond"/>
          <w:sz w:val="14"/>
          <w:szCs w:val="14"/>
        </w:rPr>
      </w:pPr>
    </w:p>
    <w:p w14:paraId="3DC479C8" w14:textId="055EFF1E" w:rsidR="00280943" w:rsidRDefault="00A06BB1" w:rsidP="000C0FD4">
      <w:pPr>
        <w:spacing w:after="0"/>
        <w:ind w:firstLine="720"/>
        <w:jc w:val="both"/>
        <w:rPr>
          <w:rFonts w:ascii="Garamond" w:hAnsi="Garamond"/>
          <w:sz w:val="24"/>
          <w:szCs w:val="24"/>
        </w:rPr>
      </w:pPr>
      <w:r w:rsidRPr="003E3A2D">
        <w:rPr>
          <w:rFonts w:ascii="Garamond" w:hAnsi="Garamond"/>
          <w:sz w:val="24"/>
          <w:szCs w:val="24"/>
        </w:rPr>
        <w:t xml:space="preserve">The </w:t>
      </w:r>
      <w:r w:rsidRPr="003E3A2D">
        <w:rPr>
          <w:rFonts w:ascii="Garamond" w:hAnsi="Garamond"/>
          <w:b/>
          <w:bCs/>
          <w:sz w:val="24"/>
          <w:szCs w:val="24"/>
        </w:rPr>
        <w:t xml:space="preserve">Housing </w:t>
      </w:r>
      <w:r w:rsidRPr="003E3A2D">
        <w:rPr>
          <w:rFonts w:ascii="Garamond" w:hAnsi="Garamond"/>
          <w:sz w:val="24"/>
          <w:szCs w:val="24"/>
        </w:rPr>
        <w:t>segment has not been certified yet</w:t>
      </w:r>
      <w:r w:rsidR="000C0FD4" w:rsidRPr="003E3A2D">
        <w:rPr>
          <w:rFonts w:ascii="Garamond" w:hAnsi="Garamond"/>
          <w:sz w:val="24"/>
          <w:szCs w:val="24"/>
        </w:rPr>
        <w:t xml:space="preserve"> – it is expected to come in April.</w:t>
      </w:r>
      <w:r w:rsidRPr="003E3A2D">
        <w:rPr>
          <w:rFonts w:ascii="Garamond" w:hAnsi="Garamond"/>
          <w:sz w:val="24"/>
          <w:szCs w:val="24"/>
        </w:rPr>
        <w:t xml:space="preserve">  The only mention of affordable housing in the available narrative is a promised 20% bonus to developers.  </w:t>
      </w:r>
      <w:r w:rsidR="00A123E2" w:rsidRPr="003E3A2D">
        <w:rPr>
          <w:rFonts w:ascii="Garamond" w:hAnsi="Garamond"/>
          <w:sz w:val="24"/>
          <w:szCs w:val="24"/>
        </w:rPr>
        <w:t>Here is a quick list of Housing changes</w:t>
      </w:r>
      <w:r w:rsidR="0035506B" w:rsidRPr="003E3A2D">
        <w:rPr>
          <w:rFonts w:ascii="Garamond" w:hAnsi="Garamond"/>
          <w:sz w:val="24"/>
          <w:szCs w:val="24"/>
        </w:rPr>
        <w:t>:</w:t>
      </w:r>
    </w:p>
    <w:p w14:paraId="05439084" w14:textId="77777777" w:rsidR="00C87F5F" w:rsidRPr="00C87F5F" w:rsidRDefault="00C87F5F" w:rsidP="000C0FD4">
      <w:pPr>
        <w:spacing w:after="0"/>
        <w:ind w:firstLine="720"/>
        <w:jc w:val="both"/>
        <w:rPr>
          <w:rFonts w:ascii="Garamond" w:hAnsi="Garamond"/>
          <w:sz w:val="16"/>
          <w:szCs w:val="16"/>
        </w:rPr>
      </w:pPr>
    </w:p>
    <w:p w14:paraId="297EF940" w14:textId="77777777" w:rsidR="00A123E2" w:rsidRPr="003E3A2D" w:rsidRDefault="00A123E2" w:rsidP="00C87F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3A2D">
        <w:rPr>
          <w:rFonts w:ascii="Garamond" w:hAnsi="Garamond"/>
          <w:b/>
          <w:bCs/>
          <w:sz w:val="24"/>
          <w:szCs w:val="24"/>
        </w:rPr>
        <w:t>Accessory Dwelling Units</w:t>
      </w:r>
      <w:r w:rsidRPr="003E3A2D">
        <w:rPr>
          <w:rFonts w:ascii="Garamond" w:hAnsi="Garamond"/>
          <w:sz w:val="24"/>
          <w:szCs w:val="24"/>
        </w:rPr>
        <w:t xml:space="preserve"> (ADU)</w:t>
      </w:r>
    </w:p>
    <w:p w14:paraId="779BE70F" w14:textId="072CD708" w:rsidR="00A123E2" w:rsidRPr="003E3A2D" w:rsidRDefault="00A123E2" w:rsidP="00C87F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3A2D">
        <w:rPr>
          <w:rFonts w:ascii="Garamond" w:hAnsi="Garamond"/>
          <w:b/>
          <w:bCs/>
          <w:sz w:val="24"/>
          <w:szCs w:val="24"/>
        </w:rPr>
        <w:t>Transit Oriented Development</w:t>
      </w:r>
      <w:r w:rsidRPr="003E3A2D">
        <w:rPr>
          <w:rFonts w:ascii="Garamond" w:hAnsi="Garamond"/>
          <w:sz w:val="24"/>
          <w:szCs w:val="24"/>
        </w:rPr>
        <w:t xml:space="preserve"> (TOD) expanding the existing Transit Zone.</w:t>
      </w:r>
    </w:p>
    <w:p w14:paraId="2B80D041" w14:textId="7DFFD229" w:rsidR="00A123E2" w:rsidRPr="003E3A2D" w:rsidRDefault="00A123E2" w:rsidP="00C87F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3A2D">
        <w:rPr>
          <w:rFonts w:ascii="Garamond" w:hAnsi="Garamond"/>
          <w:b/>
          <w:bCs/>
          <w:sz w:val="24"/>
          <w:szCs w:val="24"/>
        </w:rPr>
        <w:t>Town Center</w:t>
      </w:r>
      <w:r w:rsidRPr="003E3A2D">
        <w:rPr>
          <w:rFonts w:ascii="Garamond" w:hAnsi="Garamond"/>
          <w:sz w:val="24"/>
          <w:szCs w:val="24"/>
        </w:rPr>
        <w:t xml:space="preserve"> zoning in R1 to R5 puts a commercial overlay on large streets (not many)</w:t>
      </w:r>
    </w:p>
    <w:p w14:paraId="435EAD2F" w14:textId="5FF27862" w:rsidR="00A123E2" w:rsidRPr="003E3A2D" w:rsidRDefault="00A123E2" w:rsidP="00C87F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3A2D">
        <w:rPr>
          <w:rFonts w:ascii="Garamond" w:hAnsi="Garamond"/>
          <w:b/>
          <w:bCs/>
          <w:sz w:val="24"/>
          <w:szCs w:val="24"/>
        </w:rPr>
        <w:t>Zoning change</w:t>
      </w:r>
      <w:r w:rsidRPr="003E3A2D">
        <w:rPr>
          <w:rFonts w:ascii="Garamond" w:hAnsi="Garamond"/>
          <w:sz w:val="24"/>
          <w:szCs w:val="24"/>
        </w:rPr>
        <w:t xml:space="preserve"> to lot sizes, widths, setbacks, heights, floor area ratios, mandatory planting areas and other basic forms is to increase bulk, density.</w:t>
      </w:r>
    </w:p>
    <w:p w14:paraId="6E7D4EE7" w14:textId="1A6BA53D" w:rsidR="00A123E2" w:rsidRPr="003E3A2D" w:rsidRDefault="00A123E2" w:rsidP="00C87F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3A2D">
        <w:rPr>
          <w:rFonts w:ascii="Garamond" w:hAnsi="Garamond"/>
          <w:b/>
          <w:bCs/>
          <w:sz w:val="24"/>
          <w:szCs w:val="24"/>
        </w:rPr>
        <w:t>Parking Requirement El</w:t>
      </w:r>
      <w:r w:rsidR="0035506B" w:rsidRPr="003E3A2D">
        <w:rPr>
          <w:rFonts w:ascii="Garamond" w:hAnsi="Garamond"/>
          <w:b/>
          <w:bCs/>
          <w:sz w:val="24"/>
          <w:szCs w:val="24"/>
        </w:rPr>
        <w:t>imin</w:t>
      </w:r>
      <w:r w:rsidRPr="003E3A2D">
        <w:rPr>
          <w:rFonts w:ascii="Garamond" w:hAnsi="Garamond"/>
          <w:b/>
          <w:bCs/>
          <w:sz w:val="24"/>
          <w:szCs w:val="24"/>
        </w:rPr>
        <w:t>ated</w:t>
      </w:r>
      <w:r w:rsidRPr="003E3A2D">
        <w:rPr>
          <w:rFonts w:ascii="Garamond" w:hAnsi="Garamond"/>
          <w:sz w:val="24"/>
          <w:szCs w:val="24"/>
        </w:rPr>
        <w:t xml:space="preserve"> for all new housing</w:t>
      </w:r>
      <w:r w:rsidR="0035506B" w:rsidRPr="003E3A2D">
        <w:rPr>
          <w:rFonts w:ascii="Garamond" w:hAnsi="Garamond"/>
          <w:sz w:val="24"/>
          <w:szCs w:val="24"/>
        </w:rPr>
        <w:t>.</w:t>
      </w:r>
    </w:p>
    <w:p w14:paraId="23B304FD" w14:textId="77777777" w:rsidR="0035506B" w:rsidRPr="003E3A2D" w:rsidRDefault="0035506B" w:rsidP="00C87F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3A2D">
        <w:rPr>
          <w:rFonts w:ascii="Garamond" w:hAnsi="Garamond"/>
          <w:sz w:val="24"/>
          <w:szCs w:val="24"/>
        </w:rPr>
        <w:t xml:space="preserve">Buildings may increase </w:t>
      </w:r>
      <w:r w:rsidRPr="003E3A2D">
        <w:rPr>
          <w:rFonts w:ascii="Garamond" w:hAnsi="Garamond"/>
          <w:b/>
          <w:bCs/>
          <w:sz w:val="24"/>
          <w:szCs w:val="24"/>
        </w:rPr>
        <w:t>FAR by 20% for affordable housing</w:t>
      </w:r>
      <w:r w:rsidRPr="003E3A2D">
        <w:rPr>
          <w:rFonts w:ascii="Garamond" w:hAnsi="Garamond"/>
          <w:sz w:val="24"/>
          <w:szCs w:val="24"/>
        </w:rPr>
        <w:t xml:space="preserve"> (SOW)</w:t>
      </w:r>
    </w:p>
    <w:p w14:paraId="5D05D123" w14:textId="56309CBE" w:rsidR="00A123E2" w:rsidRPr="003E3A2D" w:rsidRDefault="0035506B" w:rsidP="00C87F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3A2D">
        <w:rPr>
          <w:rFonts w:ascii="Garamond" w:hAnsi="Garamond"/>
          <w:b/>
          <w:bCs/>
          <w:sz w:val="24"/>
          <w:szCs w:val="24"/>
        </w:rPr>
        <w:t>In fill development</w:t>
      </w:r>
      <w:r w:rsidRPr="003E3A2D">
        <w:rPr>
          <w:rFonts w:ascii="Garamond" w:hAnsi="Garamond"/>
          <w:sz w:val="24"/>
          <w:szCs w:val="24"/>
        </w:rPr>
        <w:t xml:space="preserve"> for existing complexes: colleges, nursing homes, hospitals, etc.</w:t>
      </w:r>
    </w:p>
    <w:p w14:paraId="0A1BC517" w14:textId="77777777" w:rsidR="000C0FD4" w:rsidRPr="00C87F5F" w:rsidRDefault="000C0FD4" w:rsidP="000C0FD4">
      <w:pPr>
        <w:spacing w:after="0"/>
        <w:jc w:val="both"/>
        <w:rPr>
          <w:rFonts w:ascii="Garamond" w:hAnsi="Garamond"/>
          <w:sz w:val="12"/>
          <w:szCs w:val="12"/>
        </w:rPr>
      </w:pPr>
    </w:p>
    <w:p w14:paraId="47CC547B" w14:textId="77777777" w:rsidR="00C87F5F" w:rsidRDefault="00C87F5F" w:rsidP="00C87F5F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Keep informed.  Join the </w:t>
      </w:r>
      <w:r w:rsidRPr="000C0FD4">
        <w:rPr>
          <w:rFonts w:ascii="Garamond" w:hAnsi="Garamond"/>
          <w:b/>
          <w:bCs/>
        </w:rPr>
        <w:t>Protect Bronx Neighborhoods from Overdevelopment</w:t>
      </w:r>
      <w:r>
        <w:rPr>
          <w:rFonts w:ascii="Garamond" w:hAnsi="Garamond"/>
        </w:rPr>
        <w:t xml:space="preserve"> Coalition.</w:t>
      </w:r>
    </w:p>
    <w:p w14:paraId="18605865" w14:textId="1D45E5F4" w:rsidR="000C0FD4" w:rsidRPr="00C87F5F" w:rsidRDefault="000C0FD4" w:rsidP="003E3A2D">
      <w:pPr>
        <w:pStyle w:val="Footer"/>
        <w:jc w:val="center"/>
        <w:rPr>
          <w:rFonts w:ascii="Garamond" w:hAnsi="Garamond"/>
          <w:sz w:val="18"/>
          <w:szCs w:val="18"/>
        </w:rPr>
      </w:pPr>
      <w:r w:rsidRPr="00C87F5F">
        <w:rPr>
          <w:rFonts w:ascii="Garamond" w:hAnsi="Garamond"/>
          <w:sz w:val="18"/>
          <w:szCs w:val="18"/>
        </w:rPr>
        <w:t>This one-page Memo was prepared by Karen Argenti, BCEQ, 021824</w:t>
      </w:r>
    </w:p>
    <w:sectPr w:rsidR="000C0FD4" w:rsidRPr="00C87F5F" w:rsidSect="001053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BB1A" w14:textId="77777777" w:rsidR="00105305" w:rsidRDefault="00105305" w:rsidP="000D6D73">
      <w:pPr>
        <w:spacing w:after="0" w:line="240" w:lineRule="auto"/>
      </w:pPr>
      <w:r>
        <w:separator/>
      </w:r>
    </w:p>
  </w:endnote>
  <w:endnote w:type="continuationSeparator" w:id="0">
    <w:p w14:paraId="7A8D3D9F" w14:textId="77777777" w:rsidR="00105305" w:rsidRDefault="00105305" w:rsidP="000D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5B3D" w14:textId="276AA542" w:rsidR="00DC17CA" w:rsidRPr="00C87F5F" w:rsidRDefault="00C87F5F" w:rsidP="000C0FD4">
    <w:pPr>
      <w:spacing w:after="0"/>
      <w:jc w:val="center"/>
      <w:rPr>
        <w:rFonts w:ascii="Garamond" w:hAnsi="Garamond"/>
        <w:sz w:val="18"/>
        <w:szCs w:val="18"/>
      </w:rPr>
    </w:pPr>
    <w:r w:rsidRPr="00C87F5F">
      <w:rPr>
        <w:rFonts w:ascii="Garamond" w:hAnsi="Garamond"/>
        <w:b/>
        <w:bCs/>
        <w:sz w:val="18"/>
        <w:szCs w:val="18"/>
      </w:rPr>
      <w:t>Protect Bronx Neighborhoods from Overdevelopment</w:t>
    </w:r>
    <w:r w:rsidRPr="00C87F5F">
      <w:rPr>
        <w:rFonts w:ascii="Garamond" w:hAnsi="Garamond"/>
        <w:sz w:val="18"/>
        <w:szCs w:val="18"/>
      </w:rPr>
      <w:t xml:space="preserve"> Coalition</w:t>
    </w:r>
  </w:p>
  <w:p w14:paraId="6E0DB191" w14:textId="4216BC90" w:rsidR="00DC17CA" w:rsidRPr="00C87F5F" w:rsidRDefault="00DC17CA" w:rsidP="000C0FD4">
    <w:pPr>
      <w:spacing w:after="0"/>
      <w:jc w:val="center"/>
      <w:rPr>
        <w:rFonts w:ascii="Garamond" w:hAnsi="Garamond"/>
        <w:sz w:val="18"/>
        <w:szCs w:val="18"/>
      </w:rPr>
    </w:pPr>
    <w:r w:rsidRPr="00C87F5F">
      <w:rPr>
        <w:rFonts w:ascii="Garamond" w:hAnsi="Garamond"/>
        <w:sz w:val="18"/>
        <w:szCs w:val="18"/>
      </w:rPr>
      <w:t xml:space="preserve">Karen Argenti at </w:t>
    </w:r>
    <w:hyperlink r:id="rId1" w:history="1">
      <w:r w:rsidRPr="00C87F5F">
        <w:rPr>
          <w:rStyle w:val="Hyperlink"/>
          <w:rFonts w:ascii="Garamond" w:hAnsi="Garamond"/>
          <w:sz w:val="18"/>
          <w:szCs w:val="18"/>
        </w:rPr>
        <w:t>karen@bceq.org</w:t>
      </w:r>
    </w:hyperlink>
    <w:r w:rsidRPr="00C87F5F">
      <w:rPr>
        <w:rFonts w:ascii="Garamond" w:hAnsi="Garamond"/>
        <w:sz w:val="18"/>
        <w:szCs w:val="18"/>
      </w:rPr>
      <w:t xml:space="preserve"> and Laura Spalter at </w:t>
    </w:r>
    <w:hyperlink r:id="rId2" w:history="1">
      <w:r w:rsidRPr="00C87F5F">
        <w:rPr>
          <w:rStyle w:val="Hyperlink"/>
          <w:rFonts w:ascii="Garamond" w:hAnsi="Garamond"/>
          <w:sz w:val="18"/>
          <w:szCs w:val="18"/>
        </w:rPr>
        <w:t>lsrca1@aol.com</w:t>
      </w:r>
    </w:hyperlink>
    <w:r w:rsidRPr="00C87F5F">
      <w:rPr>
        <w:rFonts w:ascii="Garamond" w:hAnsi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366E" w14:textId="77777777" w:rsidR="00105305" w:rsidRDefault="00105305" w:rsidP="000D6D73">
      <w:pPr>
        <w:spacing w:after="0" w:line="240" w:lineRule="auto"/>
      </w:pPr>
      <w:r>
        <w:separator/>
      </w:r>
    </w:p>
  </w:footnote>
  <w:footnote w:type="continuationSeparator" w:id="0">
    <w:p w14:paraId="6AA1C29A" w14:textId="77777777" w:rsidR="00105305" w:rsidRDefault="00105305" w:rsidP="000D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C6BC" w14:textId="510FCE58" w:rsidR="00DC17CA" w:rsidRPr="0035506B" w:rsidRDefault="0035506B" w:rsidP="0035506B">
    <w:pPr>
      <w:pStyle w:val="Header"/>
      <w:jc w:val="center"/>
      <w:rPr>
        <w:rFonts w:ascii="Garamond" w:hAnsi="Garamond"/>
        <w:b/>
        <w:bCs/>
        <w:sz w:val="24"/>
        <w:szCs w:val="24"/>
      </w:rPr>
    </w:pPr>
    <w:r w:rsidRPr="0035506B">
      <w:rPr>
        <w:rFonts w:ascii="Garamond" w:hAnsi="Garamond"/>
        <w:b/>
        <w:bCs/>
        <w:sz w:val="24"/>
        <w:szCs w:val="24"/>
      </w:rPr>
      <w:t>Update on City of Yes Mess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56B"/>
    <w:multiLevelType w:val="hybridMultilevel"/>
    <w:tmpl w:val="7E62FEE2"/>
    <w:lvl w:ilvl="0" w:tplc="AD869B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A8DE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DC0C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5EF0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8ABA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3417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B84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CA1F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046B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165CB"/>
    <w:multiLevelType w:val="hybridMultilevel"/>
    <w:tmpl w:val="B2E6D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20063"/>
    <w:multiLevelType w:val="hybridMultilevel"/>
    <w:tmpl w:val="1C461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9649348">
    <w:abstractNumId w:val="2"/>
  </w:num>
  <w:num w:numId="2" w16cid:durableId="183520889">
    <w:abstractNumId w:val="0"/>
  </w:num>
  <w:num w:numId="3" w16cid:durableId="14937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C8"/>
    <w:rsid w:val="000C0FD4"/>
    <w:rsid w:val="000D6D73"/>
    <w:rsid w:val="00105305"/>
    <w:rsid w:val="00280943"/>
    <w:rsid w:val="0035506B"/>
    <w:rsid w:val="003E3A2D"/>
    <w:rsid w:val="004A403D"/>
    <w:rsid w:val="00502F31"/>
    <w:rsid w:val="0051338C"/>
    <w:rsid w:val="005552A5"/>
    <w:rsid w:val="008D67A8"/>
    <w:rsid w:val="009C73C8"/>
    <w:rsid w:val="00A06BB1"/>
    <w:rsid w:val="00A123E2"/>
    <w:rsid w:val="00C87F5F"/>
    <w:rsid w:val="00D712AB"/>
    <w:rsid w:val="00DC17CA"/>
    <w:rsid w:val="00F763E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2C511"/>
  <w15:chartTrackingRefBased/>
  <w15:docId w15:val="{DF99199D-BB9D-4C21-8171-6757E186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6D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6D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6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D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2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6B"/>
  </w:style>
  <w:style w:type="paragraph" w:styleId="Footer">
    <w:name w:val="footer"/>
    <w:basedOn w:val="Normal"/>
    <w:link w:val="FooterChar"/>
    <w:uiPriority w:val="99"/>
    <w:unhideWhenUsed/>
    <w:rsid w:val="00355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84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srca1@aol.com" TargetMode="External"/><Relationship Id="rId1" Type="http://schemas.openxmlformats.org/officeDocument/2006/relationships/hyperlink" Target="mailto:karen@bce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5AC878-F7BF-4889-94E2-1AFC19AFE20B}">
  <we:reference id="wa104380526" version="1.0.33.0" store="en-US" storeType="OMEX"/>
  <we:alternateReferences>
    <we:reference id="wa104380526" version="1.0.33.0" store="WA10438052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07CC-3A5E-472F-AD5E-6FC82ABD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Argenti</dc:creator>
  <cp:keywords/>
  <dc:description/>
  <cp:lastModifiedBy>Karen Argenti</cp:lastModifiedBy>
  <cp:revision>7</cp:revision>
  <dcterms:created xsi:type="dcterms:W3CDTF">2024-02-18T17:28:00Z</dcterms:created>
  <dcterms:modified xsi:type="dcterms:W3CDTF">2024-02-27T20:37:00Z</dcterms:modified>
</cp:coreProperties>
</file>