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33EC" w14:textId="033F5876" w:rsidR="00941802" w:rsidRPr="005C7565" w:rsidRDefault="00D81419" w:rsidP="005C7565">
      <w:pPr>
        <w:spacing w:line="276" w:lineRule="auto"/>
        <w:ind w:firstLine="720"/>
        <w:jc w:val="both"/>
        <w:rPr>
          <w:rFonts w:ascii="Garamond" w:hAnsi="Garamond"/>
          <w:sz w:val="24"/>
          <w:szCs w:val="24"/>
          <w:lang w:val="en"/>
        </w:rPr>
      </w:pPr>
      <w:r w:rsidRPr="005C7565">
        <w:rPr>
          <w:rFonts w:ascii="Garamond" w:hAnsi="Garamond"/>
          <w:sz w:val="24"/>
          <w:szCs w:val="24"/>
          <w:lang w:val="en"/>
        </w:rPr>
        <w:t xml:space="preserve">We need </w:t>
      </w:r>
      <w:r w:rsidR="00941802" w:rsidRPr="005C7565">
        <w:rPr>
          <w:rFonts w:ascii="Garamond" w:hAnsi="Garamond"/>
          <w:sz w:val="24"/>
          <w:szCs w:val="24"/>
          <w:lang w:val="en"/>
        </w:rPr>
        <w:t xml:space="preserve">to </w:t>
      </w:r>
      <w:r w:rsidR="0034425A" w:rsidRPr="005C7565">
        <w:rPr>
          <w:rFonts w:ascii="Garamond" w:hAnsi="Garamond"/>
          <w:sz w:val="24"/>
          <w:szCs w:val="24"/>
          <w:lang w:val="en"/>
        </w:rPr>
        <w:t xml:space="preserve">concentrate more on </w:t>
      </w:r>
      <w:r w:rsidR="00941802" w:rsidRPr="005C7565">
        <w:rPr>
          <w:rFonts w:ascii="Garamond" w:hAnsi="Garamond"/>
          <w:sz w:val="24"/>
          <w:szCs w:val="24"/>
          <w:lang w:val="en"/>
        </w:rPr>
        <w:t>adopt</w:t>
      </w:r>
      <w:r w:rsidR="0034425A" w:rsidRPr="005C7565">
        <w:rPr>
          <w:rFonts w:ascii="Garamond" w:hAnsi="Garamond"/>
          <w:sz w:val="24"/>
          <w:szCs w:val="24"/>
          <w:lang w:val="en"/>
        </w:rPr>
        <w:t>ing</w:t>
      </w:r>
      <w:r w:rsidR="00941802" w:rsidRPr="005C7565">
        <w:rPr>
          <w:rFonts w:ascii="Garamond" w:hAnsi="Garamond"/>
          <w:sz w:val="24"/>
          <w:szCs w:val="24"/>
          <w:lang w:val="en"/>
        </w:rPr>
        <w:t xml:space="preserve"> a plan that protects the urban built environment by using nature to improve ecosystem services.  </w:t>
      </w:r>
      <w:r w:rsidR="00941802" w:rsidRPr="005C7565">
        <w:rPr>
          <w:rFonts w:ascii="Garamond" w:hAnsi="Garamond"/>
          <w:sz w:val="24"/>
          <w:szCs w:val="24"/>
        </w:rPr>
        <w:t xml:space="preserve">This </w:t>
      </w:r>
      <w:r w:rsidR="00140EEC" w:rsidRPr="005C7565">
        <w:rPr>
          <w:rFonts w:ascii="Garamond" w:hAnsi="Garamond"/>
          <w:sz w:val="24"/>
          <w:szCs w:val="24"/>
        </w:rPr>
        <w:t xml:space="preserve">plan should </w:t>
      </w:r>
      <w:r w:rsidR="00941802" w:rsidRPr="005C7565">
        <w:rPr>
          <w:rFonts w:ascii="Garamond" w:hAnsi="Garamond"/>
          <w:sz w:val="24"/>
          <w:szCs w:val="24"/>
        </w:rPr>
        <w:t>highlight critical and sustainable steps to reduce the high cost of increasing electricity to cool residents in response to managing forecasted 3-day-100-degree heat waves. </w:t>
      </w:r>
      <w:r w:rsidR="00941802" w:rsidRPr="005C7565">
        <w:rPr>
          <w:rFonts w:ascii="Garamond" w:hAnsi="Garamond"/>
          <w:sz w:val="24"/>
          <w:szCs w:val="24"/>
          <w:lang w:val="en"/>
        </w:rPr>
        <w:t xml:space="preserve"> The simple idea is to look toward nature for an answer</w:t>
      </w:r>
      <w:r w:rsidR="00E04C82" w:rsidRPr="005C7565">
        <w:rPr>
          <w:rFonts w:ascii="Garamond" w:hAnsi="Garamond"/>
          <w:sz w:val="24"/>
          <w:szCs w:val="24"/>
          <w:lang w:val="en"/>
        </w:rPr>
        <w:t xml:space="preserve"> </w:t>
      </w:r>
      <w:r w:rsidR="0034425A" w:rsidRPr="005C7565">
        <w:rPr>
          <w:rFonts w:ascii="Garamond" w:hAnsi="Garamond"/>
          <w:sz w:val="24"/>
          <w:szCs w:val="24"/>
          <w:lang w:val="en"/>
        </w:rPr>
        <w:t>of how to quicken up carbon</w:t>
      </w:r>
      <w:r w:rsidR="00F0406E" w:rsidRPr="005C7565">
        <w:rPr>
          <w:rFonts w:ascii="Garamond" w:hAnsi="Garamond"/>
          <w:sz w:val="24"/>
          <w:szCs w:val="24"/>
          <w:lang w:val="en"/>
        </w:rPr>
        <w:t xml:space="preserve"> sink</w:t>
      </w:r>
      <w:r w:rsidR="0034425A" w:rsidRPr="005C7565">
        <w:rPr>
          <w:rFonts w:ascii="Garamond" w:hAnsi="Garamond"/>
          <w:sz w:val="24"/>
          <w:szCs w:val="24"/>
          <w:lang w:val="en"/>
        </w:rPr>
        <w:t>.</w:t>
      </w:r>
    </w:p>
    <w:p w14:paraId="7C0A6414" w14:textId="77777777" w:rsidR="00140EEC" w:rsidRPr="005C7565" w:rsidRDefault="00140EEC" w:rsidP="005C7565">
      <w:pPr>
        <w:spacing w:line="276" w:lineRule="auto"/>
        <w:jc w:val="both"/>
        <w:rPr>
          <w:rFonts w:ascii="Garamond" w:hAnsi="Garamond"/>
          <w:sz w:val="24"/>
          <w:szCs w:val="24"/>
          <w:lang w:val="en"/>
        </w:rPr>
      </w:pPr>
    </w:p>
    <w:p w14:paraId="4F144305" w14:textId="77777777" w:rsidR="005C7565" w:rsidRDefault="00140EEC" w:rsidP="005C7565">
      <w:pPr>
        <w:spacing w:line="276" w:lineRule="auto"/>
        <w:ind w:firstLine="720"/>
        <w:jc w:val="both"/>
        <w:rPr>
          <w:rFonts w:ascii="Garamond" w:hAnsi="Garamond"/>
          <w:sz w:val="24"/>
          <w:szCs w:val="24"/>
          <w:lang w:val="en"/>
        </w:rPr>
      </w:pPr>
      <w:r w:rsidRPr="005C7565">
        <w:rPr>
          <w:rFonts w:ascii="Garamond" w:hAnsi="Garamond"/>
          <w:sz w:val="24"/>
          <w:szCs w:val="24"/>
        </w:rPr>
        <w:t>The</w:t>
      </w:r>
      <w:r w:rsidR="00704C71" w:rsidRPr="005C7565">
        <w:rPr>
          <w:rFonts w:ascii="Garamond" w:hAnsi="Garamond"/>
          <w:sz w:val="24"/>
          <w:szCs w:val="24"/>
          <w:u w:val="single"/>
        </w:rPr>
        <w:t xml:space="preserve"> Modern Carbon Cycle</w:t>
      </w:r>
      <w:r w:rsidR="00704C71" w:rsidRPr="005C7565">
        <w:rPr>
          <w:rStyle w:val="FootnoteReference"/>
          <w:rFonts w:ascii="Garamond" w:hAnsi="Garamond"/>
          <w:b/>
          <w:bCs/>
          <w:sz w:val="24"/>
          <w:szCs w:val="24"/>
        </w:rPr>
        <w:footnoteReference w:id="1"/>
      </w:r>
      <w:r w:rsidR="00704C71" w:rsidRPr="005C7565">
        <w:rPr>
          <w:rFonts w:ascii="Garamond" w:hAnsi="Garamond"/>
          <w:b/>
          <w:bCs/>
          <w:sz w:val="24"/>
          <w:szCs w:val="24"/>
        </w:rPr>
        <w:t xml:space="preserve"> </w:t>
      </w:r>
      <w:r w:rsidRPr="005C7565">
        <w:rPr>
          <w:rFonts w:ascii="Garamond" w:hAnsi="Garamond"/>
          <w:sz w:val="24"/>
          <w:szCs w:val="24"/>
        </w:rPr>
        <w:t xml:space="preserve"> </w:t>
      </w:r>
      <w:r w:rsidRPr="005C7565">
        <w:rPr>
          <w:rFonts w:ascii="Garamond" w:hAnsi="Garamond"/>
          <w:sz w:val="24"/>
          <w:szCs w:val="24"/>
          <w:lang w:val="en"/>
        </w:rPr>
        <w:t xml:space="preserve">looks at the “exchange of CO2 occurring over the scale of months to a few centuries that are important for the cycling of </w:t>
      </w:r>
      <w:proofErr w:type="spellStart"/>
      <w:r w:rsidRPr="005C7565">
        <w:rPr>
          <w:rFonts w:ascii="Garamond" w:hAnsi="Garamond"/>
          <w:sz w:val="24"/>
          <w:szCs w:val="24"/>
          <w:lang w:val="en"/>
        </w:rPr>
        <w:t>C over</w:t>
      </w:r>
      <w:proofErr w:type="spellEnd"/>
      <w:r w:rsidRPr="005C7565">
        <w:rPr>
          <w:rFonts w:ascii="Garamond" w:hAnsi="Garamond"/>
          <w:sz w:val="24"/>
          <w:szCs w:val="24"/>
          <w:lang w:val="en"/>
        </w:rPr>
        <w:t xml:space="preserve"> </w:t>
      </w:r>
      <w:r w:rsidRPr="005C7565">
        <w:rPr>
          <w:rFonts w:ascii="Garamond" w:hAnsi="Garamond"/>
          <w:b/>
          <w:bCs/>
          <w:sz w:val="24"/>
          <w:szCs w:val="24"/>
          <w:lang w:val="en"/>
        </w:rPr>
        <w:t>years to decades</w:t>
      </w:r>
      <w:r w:rsidRPr="005C7565">
        <w:rPr>
          <w:rFonts w:ascii="Garamond" w:hAnsi="Garamond"/>
          <w:sz w:val="24"/>
          <w:szCs w:val="24"/>
          <w:lang w:val="en"/>
        </w:rPr>
        <w:t xml:space="preserve"> with the focus on human influence starting from Industrial Era (1750).”</w:t>
      </w:r>
      <w:r w:rsidR="00C027F3" w:rsidRPr="005C7565">
        <w:rPr>
          <w:rFonts w:ascii="Garamond" w:hAnsi="Garamond"/>
          <w:sz w:val="24"/>
          <w:szCs w:val="24"/>
          <w:lang w:val="en"/>
        </w:rPr>
        <w:t xml:space="preserve">  </w:t>
      </w:r>
    </w:p>
    <w:p w14:paraId="79AC477C" w14:textId="1B6A10D4" w:rsidR="00140EEC" w:rsidRPr="005C7565" w:rsidRDefault="00941802" w:rsidP="005C7565">
      <w:pPr>
        <w:spacing w:line="276" w:lineRule="auto"/>
        <w:ind w:firstLine="720"/>
        <w:jc w:val="both"/>
        <w:rPr>
          <w:rFonts w:ascii="Garamond" w:hAnsi="Garamond"/>
          <w:sz w:val="24"/>
          <w:szCs w:val="24"/>
          <w:lang w:val="en"/>
        </w:rPr>
      </w:pPr>
      <w:r w:rsidRPr="005C7565">
        <w:rPr>
          <w:rFonts w:ascii="Garamond" w:hAnsi="Garamond"/>
          <w:i/>
          <w:iCs/>
          <w:sz w:val="24"/>
          <w:szCs w:val="24"/>
        </w:rPr>
        <w:t>“</w:t>
      </w:r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The contemporary global carbon (C) cycling involves the exchanges of C within and between the atmosphere, the oceans, and biosphere. The C may be transferred from one reservoir to another in </w:t>
      </w:r>
      <w:r w:rsidRPr="005C7565">
        <w:rPr>
          <w:rFonts w:ascii="Garamond" w:hAnsi="Garamond"/>
          <w:b/>
          <w:bCs/>
          <w:i/>
          <w:iCs/>
          <w:sz w:val="24"/>
          <w:szCs w:val="24"/>
          <w:lang w:val="en"/>
        </w:rPr>
        <w:t>seconds</w:t>
      </w:r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 (e.g., the fixation of atmospheric carbon dioxide (CO2) by photosynthesis) or </w:t>
      </w:r>
      <w:r w:rsidRPr="005C7565">
        <w:rPr>
          <w:rFonts w:ascii="Garamond" w:hAnsi="Garamond"/>
          <w:b/>
          <w:bCs/>
          <w:i/>
          <w:iCs/>
          <w:sz w:val="24"/>
          <w:szCs w:val="24"/>
          <w:lang w:val="en"/>
        </w:rPr>
        <w:t>over millennia</w:t>
      </w:r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 [e.g., the accumulation of fossil carbon (coal, oil, gas) through deposition and diagenesis of organic matter (OM)].</w:t>
      </w:r>
      <w:r w:rsidRPr="005C7565">
        <w:rPr>
          <w:rFonts w:ascii="Garamond" w:hAnsi="Garamond"/>
          <w:sz w:val="24"/>
          <w:szCs w:val="24"/>
          <w:lang w:val="en"/>
        </w:rPr>
        <w:t>”</w:t>
      </w:r>
      <w:r w:rsidR="00140EEC" w:rsidRPr="005C7565">
        <w:rPr>
          <w:rFonts w:ascii="Garamond" w:hAnsi="Garamond"/>
          <w:sz w:val="24"/>
          <w:szCs w:val="24"/>
          <w:lang w:val="en"/>
        </w:rPr>
        <w:t xml:space="preserve"> (</w:t>
      </w:r>
      <w:r w:rsidR="00140EEC" w:rsidRPr="005C7565">
        <w:rPr>
          <w:rFonts w:ascii="Garamond" w:hAnsi="Garamond"/>
          <w:b/>
          <w:bCs/>
          <w:sz w:val="24"/>
          <w:szCs w:val="24"/>
          <w:lang w:val="en"/>
        </w:rPr>
        <w:t>emphasis added)</w:t>
      </w:r>
    </w:p>
    <w:p w14:paraId="560ED7FF" w14:textId="77777777" w:rsidR="00140EEC" w:rsidRPr="005C7565" w:rsidRDefault="00140EEC" w:rsidP="005C7565">
      <w:pPr>
        <w:spacing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36682859" w14:textId="77777777" w:rsidR="005C7565" w:rsidRDefault="00140EEC" w:rsidP="005C7565">
      <w:pPr>
        <w:spacing w:line="276" w:lineRule="auto"/>
        <w:ind w:firstLine="720"/>
        <w:jc w:val="both"/>
        <w:rPr>
          <w:rFonts w:ascii="Garamond" w:hAnsi="Garamond"/>
          <w:sz w:val="24"/>
          <w:szCs w:val="24"/>
          <w:lang w:val="en"/>
        </w:rPr>
      </w:pPr>
      <w:r w:rsidRPr="005C7565">
        <w:rPr>
          <w:rFonts w:ascii="Garamond" w:hAnsi="Garamond"/>
          <w:sz w:val="24"/>
          <w:szCs w:val="24"/>
          <w:lang w:val="en"/>
        </w:rPr>
        <w:t xml:space="preserve">But the </w:t>
      </w:r>
      <w:r w:rsidRPr="005C7565">
        <w:rPr>
          <w:rFonts w:ascii="Garamond" w:hAnsi="Garamond"/>
          <w:sz w:val="24"/>
          <w:szCs w:val="24"/>
          <w:u w:val="single"/>
        </w:rPr>
        <w:t>Recarbonization of the Biosphere</w:t>
      </w:r>
      <w:r w:rsidRPr="005C7565">
        <w:rPr>
          <w:rFonts w:ascii="Garamond" w:hAnsi="Garamond"/>
          <w:b/>
          <w:bCs/>
          <w:sz w:val="24"/>
          <w:szCs w:val="24"/>
        </w:rPr>
        <w:t xml:space="preserve"> </w:t>
      </w:r>
      <w:r w:rsidRPr="005C7565">
        <w:rPr>
          <w:rFonts w:ascii="Garamond" w:hAnsi="Garamond"/>
          <w:sz w:val="24"/>
          <w:szCs w:val="24"/>
        </w:rPr>
        <w:t xml:space="preserve">Ecosystems and the Global Carbon Cycle </w:t>
      </w:r>
      <w:r w:rsidR="0034425A" w:rsidRPr="005C7565">
        <w:rPr>
          <w:rFonts w:ascii="Garamond" w:hAnsi="Garamond"/>
          <w:sz w:val="24"/>
          <w:szCs w:val="24"/>
        </w:rPr>
        <w:t>go</w:t>
      </w:r>
      <w:r w:rsidRPr="005C7565">
        <w:rPr>
          <w:rFonts w:ascii="Garamond" w:hAnsi="Garamond"/>
          <w:sz w:val="24"/>
          <w:szCs w:val="24"/>
        </w:rPr>
        <w:t xml:space="preserve"> one step more. </w:t>
      </w:r>
      <w:r w:rsidRPr="005C7565">
        <w:rPr>
          <w:rFonts w:ascii="Garamond" w:hAnsi="Garamond"/>
          <w:sz w:val="24"/>
          <w:szCs w:val="24"/>
          <w:lang w:val="en"/>
        </w:rPr>
        <w:t xml:space="preserve">By doubling down on greening, with the added </w:t>
      </w:r>
      <w:r w:rsidRPr="005C7565">
        <w:rPr>
          <w:rFonts w:ascii="Garamond" w:hAnsi="Garamond"/>
          <w:b/>
          <w:bCs/>
          <w:sz w:val="24"/>
          <w:szCs w:val="24"/>
          <w:lang w:val="en"/>
        </w:rPr>
        <w:t>requirement of regular maintenance routines</w:t>
      </w:r>
      <w:r w:rsidRPr="005C7565">
        <w:rPr>
          <w:rFonts w:ascii="Garamond" w:hAnsi="Garamond"/>
          <w:sz w:val="24"/>
          <w:szCs w:val="24"/>
          <w:lang w:val="en"/>
        </w:rPr>
        <w:t xml:space="preserve">, the level of carbon sinks and biodiversity will increase and help offset current levels of heat island effects. </w:t>
      </w:r>
      <w:r w:rsidR="00C027F3" w:rsidRPr="005C7565">
        <w:rPr>
          <w:rFonts w:ascii="Garamond" w:hAnsi="Garamond"/>
          <w:sz w:val="24"/>
          <w:szCs w:val="24"/>
          <w:lang w:val="en"/>
        </w:rPr>
        <w:t xml:space="preserve"> </w:t>
      </w:r>
    </w:p>
    <w:p w14:paraId="2DE1FE45" w14:textId="54E0B1BA" w:rsidR="00704C71" w:rsidRPr="005C7565" w:rsidRDefault="00140EEC" w:rsidP="005C7565">
      <w:pPr>
        <w:spacing w:line="276" w:lineRule="auto"/>
        <w:ind w:firstLine="720"/>
        <w:jc w:val="both"/>
        <w:rPr>
          <w:rFonts w:ascii="Garamond" w:hAnsi="Garamond"/>
          <w:sz w:val="24"/>
          <w:szCs w:val="24"/>
          <w:lang w:val="en"/>
        </w:rPr>
      </w:pPr>
      <w:r w:rsidRPr="005C7565">
        <w:rPr>
          <w:rFonts w:ascii="Garamond" w:hAnsi="Garamond"/>
          <w:sz w:val="24"/>
          <w:szCs w:val="24"/>
          <w:lang w:val="en"/>
        </w:rPr>
        <w:t>“</w:t>
      </w:r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Ever </w:t>
      </w:r>
      <w:r w:rsidRPr="005C7565">
        <w:rPr>
          <w:rFonts w:ascii="Garamond" w:hAnsi="Garamond"/>
          <w:b/>
          <w:bCs/>
          <w:i/>
          <w:iCs/>
          <w:sz w:val="24"/>
          <w:szCs w:val="24"/>
          <w:lang w:val="en"/>
        </w:rPr>
        <w:t>increasing amounts of carbon dioxide (CO2)</w:t>
      </w:r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 are added to the atmosphere by fossil fuel combustion but the biosphere is a potential C sink. Thus, a comprehensive understanding of C cycling in the biosphere is crucial for identifying and managing biospheric C sinks. </w:t>
      </w:r>
      <w:r w:rsidRPr="005C7565">
        <w:rPr>
          <w:rFonts w:ascii="Garamond" w:hAnsi="Garamond"/>
          <w:b/>
          <w:bCs/>
          <w:i/>
          <w:iCs/>
          <w:sz w:val="24"/>
          <w:szCs w:val="24"/>
          <w:lang w:val="en"/>
        </w:rPr>
        <w:t>Ecosystems with large C stocks</w:t>
      </w:r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 which must be protected and </w:t>
      </w:r>
      <w:r w:rsidRPr="005C7565">
        <w:rPr>
          <w:rFonts w:ascii="Garamond" w:hAnsi="Garamond"/>
          <w:b/>
          <w:bCs/>
          <w:i/>
          <w:iCs/>
          <w:sz w:val="24"/>
          <w:szCs w:val="24"/>
          <w:lang w:val="en"/>
        </w:rPr>
        <w:t>sustainably managed</w:t>
      </w:r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 are wetlands, peatlands, tropical rainforests, tropical savannas, grasslands, degraded/</w:t>
      </w:r>
      <w:proofErr w:type="spellStart"/>
      <w:r w:rsidRPr="005C7565">
        <w:rPr>
          <w:rFonts w:ascii="Garamond" w:hAnsi="Garamond"/>
          <w:i/>
          <w:iCs/>
          <w:sz w:val="24"/>
          <w:szCs w:val="24"/>
          <w:lang w:val="en"/>
        </w:rPr>
        <w:t>desertified</w:t>
      </w:r>
      <w:proofErr w:type="spellEnd"/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 lands, agricultural lands, and urban lands. However, land-based sinks require long-term management and a protection strategy because C stocks grow with a progressive improvement in ecosystem health</w:t>
      </w:r>
      <w:r w:rsidRPr="005C7565">
        <w:rPr>
          <w:rFonts w:ascii="Garamond" w:hAnsi="Garamond"/>
          <w:sz w:val="24"/>
          <w:szCs w:val="24"/>
          <w:lang w:val="en"/>
        </w:rPr>
        <w:t>.”</w:t>
      </w:r>
      <w:r w:rsidR="00704C71" w:rsidRPr="005C7565">
        <w:rPr>
          <w:rStyle w:val="FootnoteReference"/>
          <w:rFonts w:ascii="Garamond" w:hAnsi="Garamond"/>
          <w:sz w:val="24"/>
          <w:szCs w:val="24"/>
          <w:lang w:val="en"/>
        </w:rPr>
        <w:footnoteReference w:id="2"/>
      </w:r>
      <w:r w:rsidR="00704C71" w:rsidRPr="005C7565">
        <w:rPr>
          <w:rFonts w:ascii="Garamond" w:hAnsi="Garamond"/>
          <w:sz w:val="24"/>
          <w:szCs w:val="24"/>
          <w:lang w:val="en"/>
        </w:rPr>
        <w:t xml:space="preserve"> (</w:t>
      </w:r>
      <w:r w:rsidR="00704C71" w:rsidRPr="005C7565">
        <w:rPr>
          <w:rFonts w:ascii="Garamond" w:hAnsi="Garamond"/>
          <w:b/>
          <w:bCs/>
          <w:sz w:val="24"/>
          <w:szCs w:val="24"/>
          <w:lang w:val="en"/>
        </w:rPr>
        <w:t>emphasis added)</w:t>
      </w:r>
      <w:r w:rsidR="00704C71" w:rsidRPr="005C7565">
        <w:rPr>
          <w:rFonts w:ascii="Garamond" w:hAnsi="Garamond"/>
          <w:sz w:val="24"/>
          <w:szCs w:val="24"/>
          <w:lang w:val="en"/>
        </w:rPr>
        <w:t xml:space="preserve">  </w:t>
      </w:r>
    </w:p>
    <w:p w14:paraId="4E28139E" w14:textId="51E46DEA" w:rsidR="00704C71" w:rsidRPr="005C7565" w:rsidRDefault="00704C71" w:rsidP="005C7565">
      <w:pPr>
        <w:spacing w:line="276" w:lineRule="auto"/>
        <w:ind w:left="720"/>
        <w:jc w:val="both"/>
        <w:rPr>
          <w:rFonts w:ascii="Garamond" w:hAnsi="Garamond"/>
          <w:sz w:val="24"/>
          <w:szCs w:val="24"/>
          <w:lang w:val="en"/>
        </w:rPr>
      </w:pPr>
    </w:p>
    <w:p w14:paraId="6EC0D493" w14:textId="77777777" w:rsidR="005C7565" w:rsidRDefault="00704C71" w:rsidP="005C7565">
      <w:pPr>
        <w:spacing w:line="276" w:lineRule="auto"/>
        <w:ind w:firstLine="720"/>
        <w:jc w:val="both"/>
        <w:rPr>
          <w:rFonts w:ascii="Garamond" w:hAnsi="Garamond"/>
          <w:sz w:val="24"/>
          <w:szCs w:val="24"/>
          <w:lang w:val="en"/>
        </w:rPr>
      </w:pPr>
      <w:r w:rsidRPr="005C7565">
        <w:rPr>
          <w:rFonts w:ascii="Garamond" w:hAnsi="Garamond"/>
          <w:sz w:val="24"/>
          <w:szCs w:val="24"/>
          <w:lang w:val="en"/>
        </w:rPr>
        <w:t xml:space="preserve">This means greening and using green infrastructure (GI) as much as possible in all landscapes and hardscapes can energize to the point of creating: 30 to 50% protected forest, local GI, wetlands, </w:t>
      </w:r>
      <w:r w:rsidRPr="005C7565">
        <w:rPr>
          <w:rFonts w:ascii="Garamond" w:hAnsi="Garamond"/>
          <w:b/>
          <w:bCs/>
          <w:sz w:val="24"/>
          <w:szCs w:val="24"/>
          <w:lang w:val="en"/>
        </w:rPr>
        <w:t xml:space="preserve">sediment </w:t>
      </w:r>
      <w:r w:rsidR="00F0406E" w:rsidRPr="005C7565">
        <w:rPr>
          <w:rFonts w:ascii="Garamond" w:hAnsi="Garamond"/>
          <w:b/>
          <w:bCs/>
          <w:sz w:val="24"/>
          <w:szCs w:val="24"/>
          <w:lang w:val="en"/>
        </w:rPr>
        <w:t>replacement</w:t>
      </w:r>
      <w:r w:rsidR="00F0406E" w:rsidRPr="005C7565">
        <w:rPr>
          <w:rFonts w:ascii="Garamond" w:hAnsi="Garamond"/>
          <w:sz w:val="24"/>
          <w:szCs w:val="24"/>
          <w:lang w:val="en"/>
        </w:rPr>
        <w:t xml:space="preserve">, </w:t>
      </w:r>
      <w:r w:rsidRPr="005C7565">
        <w:rPr>
          <w:rFonts w:ascii="Garamond" w:hAnsi="Garamond"/>
          <w:sz w:val="24"/>
          <w:szCs w:val="24"/>
          <w:lang w:val="en"/>
        </w:rPr>
        <w:t xml:space="preserve">and </w:t>
      </w:r>
      <w:r w:rsidR="00E04C82" w:rsidRPr="005C7565">
        <w:rPr>
          <w:rFonts w:ascii="Garamond" w:hAnsi="Garamond"/>
          <w:sz w:val="24"/>
          <w:szCs w:val="24"/>
          <w:lang w:val="en"/>
        </w:rPr>
        <w:t xml:space="preserve">520 </w:t>
      </w:r>
      <w:r w:rsidR="00F0406E" w:rsidRPr="005C7565">
        <w:rPr>
          <w:rFonts w:ascii="Garamond" w:hAnsi="Garamond"/>
          <w:sz w:val="24"/>
          <w:szCs w:val="24"/>
          <w:lang w:val="en"/>
        </w:rPr>
        <w:t xml:space="preserve">miles of </w:t>
      </w:r>
      <w:r w:rsidRPr="005C7565">
        <w:rPr>
          <w:rFonts w:ascii="Garamond" w:hAnsi="Garamond"/>
          <w:sz w:val="24"/>
          <w:szCs w:val="24"/>
          <w:lang w:val="en"/>
        </w:rPr>
        <w:t>natural shoreline</w:t>
      </w:r>
      <w:r w:rsidR="00E04C82" w:rsidRPr="005C7565">
        <w:rPr>
          <w:rFonts w:ascii="Garamond" w:hAnsi="Garamond"/>
          <w:sz w:val="24"/>
          <w:szCs w:val="24"/>
          <w:lang w:val="en"/>
        </w:rPr>
        <w:t xml:space="preserve"> in NYC</w:t>
      </w:r>
      <w:r w:rsidRPr="005C7565">
        <w:rPr>
          <w:rFonts w:ascii="Garamond" w:hAnsi="Garamond"/>
          <w:sz w:val="24"/>
          <w:szCs w:val="24"/>
          <w:lang w:val="en"/>
        </w:rPr>
        <w:t>.</w:t>
      </w:r>
      <w:r w:rsidR="00F0406E" w:rsidRPr="005C7565">
        <w:rPr>
          <w:rFonts w:ascii="Garamond" w:hAnsi="Garamond"/>
          <w:sz w:val="24"/>
          <w:szCs w:val="24"/>
          <w:lang w:val="en"/>
        </w:rPr>
        <w:t xml:space="preserve"> </w:t>
      </w:r>
      <w:r w:rsidRPr="005C7565">
        <w:rPr>
          <w:rFonts w:ascii="Garamond" w:hAnsi="Garamond"/>
          <w:sz w:val="24"/>
          <w:szCs w:val="24"/>
          <w:u w:val="single"/>
        </w:rPr>
        <w:t>Evidence and attribution of the enhanced land carbon sink</w:t>
      </w:r>
      <w:r w:rsidRPr="005C7565">
        <w:rPr>
          <w:rFonts w:ascii="Garamond" w:hAnsi="Garamond"/>
          <w:sz w:val="24"/>
          <w:szCs w:val="24"/>
        </w:rPr>
        <w:t> </w:t>
      </w:r>
      <w:r w:rsidR="00E04C82" w:rsidRPr="005C7565">
        <w:rPr>
          <w:rFonts w:ascii="Garamond" w:hAnsi="Garamond"/>
          <w:sz w:val="24"/>
          <w:szCs w:val="24"/>
          <w:lang w:val="en"/>
        </w:rPr>
        <w:t>describe</w:t>
      </w:r>
      <w:r w:rsidRPr="005C7565">
        <w:rPr>
          <w:rFonts w:ascii="Garamond" w:hAnsi="Garamond"/>
          <w:sz w:val="24"/>
          <w:szCs w:val="24"/>
          <w:lang w:val="en"/>
        </w:rPr>
        <w:t xml:space="preserve"> the model we need to adapt.</w:t>
      </w:r>
      <w:r w:rsidR="00140EEC" w:rsidRPr="005C7565">
        <w:rPr>
          <w:rStyle w:val="FootnoteReference"/>
          <w:rFonts w:ascii="Garamond" w:hAnsi="Garamond"/>
          <w:sz w:val="24"/>
          <w:szCs w:val="24"/>
          <w:lang w:val="en"/>
        </w:rPr>
        <w:footnoteReference w:id="3"/>
      </w:r>
      <w:r w:rsidR="0034425A" w:rsidRPr="005C7565">
        <w:rPr>
          <w:rFonts w:ascii="Garamond" w:hAnsi="Garamond"/>
          <w:sz w:val="24"/>
          <w:szCs w:val="24"/>
          <w:lang w:val="en"/>
        </w:rPr>
        <w:t xml:space="preserve"> </w:t>
      </w:r>
      <w:r w:rsidR="00C027F3" w:rsidRPr="005C7565">
        <w:rPr>
          <w:rFonts w:ascii="Garamond" w:hAnsi="Garamond"/>
          <w:sz w:val="24"/>
          <w:szCs w:val="24"/>
          <w:lang w:val="en"/>
        </w:rPr>
        <w:t xml:space="preserve"> </w:t>
      </w:r>
    </w:p>
    <w:p w14:paraId="26F2026C" w14:textId="76A7FA38" w:rsidR="00941802" w:rsidRPr="005C7565" w:rsidRDefault="0034425A" w:rsidP="005C7565">
      <w:pPr>
        <w:spacing w:line="276" w:lineRule="auto"/>
        <w:ind w:firstLine="720"/>
        <w:jc w:val="both"/>
        <w:rPr>
          <w:rFonts w:ascii="Garamond" w:hAnsi="Garamond"/>
          <w:sz w:val="24"/>
          <w:szCs w:val="24"/>
          <w:lang w:val="en"/>
        </w:rPr>
      </w:pPr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“Continued long-term land carbon sequestration is possible through the end of this century under multiple emissions scenarios, </w:t>
      </w:r>
      <w:r w:rsidRPr="005C7565">
        <w:rPr>
          <w:rFonts w:ascii="Garamond" w:hAnsi="Garamond"/>
          <w:b/>
          <w:bCs/>
          <w:i/>
          <w:iCs/>
          <w:sz w:val="24"/>
          <w:szCs w:val="24"/>
          <w:lang w:val="en"/>
        </w:rPr>
        <w:t>especially if nature-based climate solutions and appropriate ecosystem management are used.</w:t>
      </w:r>
      <w:r w:rsidRPr="005C7565">
        <w:rPr>
          <w:rFonts w:ascii="Garamond" w:hAnsi="Garamond"/>
          <w:i/>
          <w:iCs/>
          <w:sz w:val="24"/>
          <w:szCs w:val="24"/>
          <w:lang w:val="en"/>
        </w:rPr>
        <w:t xml:space="preserve"> A new generation of globally distributed field experiments is needed to improve understanding of future carbon sink potential by measuring belowground carbon release, the response to carbon dioxide enrichment, and long-term shifts in carbon allocation and turnover.”</w:t>
      </w:r>
      <w:r w:rsidR="00E04C82" w:rsidRPr="005C7565">
        <w:rPr>
          <w:rFonts w:ascii="Garamond" w:hAnsi="Garamond"/>
          <w:sz w:val="24"/>
          <w:szCs w:val="24"/>
          <w:lang w:val="en"/>
        </w:rPr>
        <w:t xml:space="preserve"> (</w:t>
      </w:r>
      <w:r w:rsidR="00E04C82" w:rsidRPr="005C7565">
        <w:rPr>
          <w:rFonts w:ascii="Garamond" w:hAnsi="Garamond"/>
          <w:b/>
          <w:bCs/>
          <w:sz w:val="24"/>
          <w:szCs w:val="24"/>
          <w:lang w:val="en"/>
        </w:rPr>
        <w:t>emphasis</w:t>
      </w:r>
      <w:r w:rsidR="00E04C82" w:rsidRPr="005C7565">
        <w:rPr>
          <w:rFonts w:ascii="Garamond" w:hAnsi="Garamond"/>
          <w:sz w:val="24"/>
          <w:szCs w:val="24"/>
          <w:lang w:val="en"/>
        </w:rPr>
        <w:t xml:space="preserve"> added)  </w:t>
      </w:r>
    </w:p>
    <w:p w14:paraId="4A2E150D" w14:textId="5E47FB33" w:rsidR="00941802" w:rsidRDefault="00941802" w:rsidP="00E702EF">
      <w:pPr>
        <w:jc w:val="both"/>
        <w:rPr>
          <w:rFonts w:ascii="Garamond" w:hAnsi="Garamond"/>
          <w:sz w:val="24"/>
          <w:szCs w:val="24"/>
          <w:lang w:val="en"/>
        </w:rPr>
      </w:pPr>
      <w:bookmarkStart w:id="0" w:name="_Hlk209528292"/>
    </w:p>
    <w:bookmarkEnd w:id="0"/>
    <w:p w14:paraId="69D2166F" w14:textId="77777777" w:rsidR="00E04C82" w:rsidRDefault="00E04C82" w:rsidP="00E702EF">
      <w:pPr>
        <w:jc w:val="both"/>
        <w:rPr>
          <w:rFonts w:ascii="Garamond" w:hAnsi="Garamond"/>
          <w:sz w:val="24"/>
          <w:szCs w:val="24"/>
          <w:lang w:val="en"/>
        </w:rPr>
      </w:pPr>
    </w:p>
    <w:sectPr w:rsidR="00E04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0911D" w14:textId="77777777" w:rsidR="003A57A5" w:rsidRDefault="003A57A5" w:rsidP="00941802">
      <w:pPr>
        <w:spacing w:line="240" w:lineRule="auto"/>
      </w:pPr>
      <w:r>
        <w:separator/>
      </w:r>
    </w:p>
  </w:endnote>
  <w:endnote w:type="continuationSeparator" w:id="0">
    <w:p w14:paraId="27391214" w14:textId="77777777" w:rsidR="003A57A5" w:rsidRDefault="003A57A5" w:rsidP="009418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DCAA" w14:textId="77777777" w:rsidR="003A57A5" w:rsidRDefault="003A57A5" w:rsidP="00941802">
      <w:pPr>
        <w:spacing w:line="240" w:lineRule="auto"/>
      </w:pPr>
      <w:r>
        <w:separator/>
      </w:r>
    </w:p>
  </w:footnote>
  <w:footnote w:type="continuationSeparator" w:id="0">
    <w:p w14:paraId="1DC8141F" w14:textId="77777777" w:rsidR="003A57A5" w:rsidRDefault="003A57A5" w:rsidP="00941802">
      <w:pPr>
        <w:spacing w:line="240" w:lineRule="auto"/>
      </w:pPr>
      <w:r>
        <w:continuationSeparator/>
      </w:r>
    </w:p>
  </w:footnote>
  <w:footnote w:id="1">
    <w:p w14:paraId="3496BDC6" w14:textId="77777777" w:rsidR="00704C71" w:rsidRPr="00C027F3" w:rsidRDefault="00704C71" w:rsidP="00704C71">
      <w:pPr>
        <w:pStyle w:val="FootnoteText"/>
        <w:rPr>
          <w:rFonts w:ascii="Garamond" w:hAnsi="Garamond"/>
        </w:rPr>
      </w:pPr>
      <w:r w:rsidRPr="00941802">
        <w:rPr>
          <w:rStyle w:val="FootnoteReference"/>
          <w:rFonts w:ascii="Garamond" w:hAnsi="Garamond"/>
        </w:rPr>
        <w:footnoteRef/>
      </w:r>
      <w:r w:rsidRPr="00941802">
        <w:rPr>
          <w:rFonts w:ascii="Garamond" w:hAnsi="Garamond"/>
          <w:lang w:val="fr-FR"/>
        </w:rPr>
        <w:t xml:space="preserve"> </w:t>
      </w:r>
      <w:proofErr w:type="spellStart"/>
      <w:r w:rsidRPr="00C027F3">
        <w:rPr>
          <w:rFonts w:ascii="Garamond" w:hAnsi="Garamond"/>
          <w:lang w:val="fr-FR"/>
        </w:rPr>
        <w:t>Ussiri</w:t>
      </w:r>
      <w:proofErr w:type="spellEnd"/>
      <w:r w:rsidRPr="00C027F3">
        <w:rPr>
          <w:rFonts w:ascii="Garamond" w:hAnsi="Garamond"/>
          <w:lang w:val="fr-FR"/>
        </w:rPr>
        <w:t xml:space="preserve">, D.A., Lal, R. (2017). </w:t>
      </w:r>
      <w:r w:rsidRPr="00C027F3">
        <w:rPr>
          <w:rFonts w:ascii="Garamond" w:hAnsi="Garamond"/>
          <w:u w:val="single"/>
        </w:rPr>
        <w:t>The Modern Carbon Cycle</w:t>
      </w:r>
      <w:r w:rsidRPr="00C027F3">
        <w:rPr>
          <w:rFonts w:ascii="Garamond" w:hAnsi="Garamond"/>
        </w:rPr>
        <w:t xml:space="preserve">. In: Carbon Sequestration for Climate Change Mitigation and Adaptation. Springer, Cham. </w:t>
      </w:r>
      <w:hyperlink r:id="rId1" w:history="1">
        <w:r w:rsidRPr="00C027F3">
          <w:rPr>
            <w:rStyle w:val="Hyperlink"/>
            <w:rFonts w:ascii="Garamond" w:hAnsi="Garamond"/>
          </w:rPr>
          <w:t>https://doi.org/10.1007/978-3-319-53845-7_6</w:t>
        </w:r>
      </w:hyperlink>
      <w:r w:rsidRPr="00C027F3">
        <w:rPr>
          <w:rFonts w:ascii="Garamond" w:hAnsi="Garamond"/>
        </w:rPr>
        <w:t xml:space="preserve"> </w:t>
      </w:r>
    </w:p>
  </w:footnote>
  <w:footnote w:id="2">
    <w:p w14:paraId="67B4D40F" w14:textId="78AFB523" w:rsidR="00704C71" w:rsidRPr="00C027F3" w:rsidRDefault="00704C71">
      <w:pPr>
        <w:pStyle w:val="FootnoteText"/>
        <w:rPr>
          <w:rFonts w:ascii="Garamond" w:hAnsi="Garamond"/>
        </w:rPr>
      </w:pPr>
      <w:r w:rsidRPr="00C027F3">
        <w:rPr>
          <w:rStyle w:val="FootnoteReference"/>
          <w:rFonts w:ascii="Garamond" w:hAnsi="Garamond"/>
        </w:rPr>
        <w:footnoteRef/>
      </w:r>
      <w:r w:rsidRPr="00C027F3">
        <w:rPr>
          <w:rFonts w:ascii="Garamond" w:hAnsi="Garamond"/>
        </w:rPr>
        <w:t xml:space="preserve"> </w:t>
      </w:r>
      <w:hyperlink r:id="rId2" w:history="1">
        <w:r w:rsidRPr="00C027F3">
          <w:rPr>
            <w:rStyle w:val="Hyperlink"/>
            <w:rFonts w:ascii="Garamond" w:hAnsi="Garamond"/>
          </w:rPr>
          <w:t>Recarbonization of the Biosphere: Ecosystems and the Global Carbon Cycle Boo</w:t>
        </w:r>
      </w:hyperlink>
      <w:r w:rsidRPr="00C027F3">
        <w:rPr>
          <w:rFonts w:ascii="Garamond" w:hAnsi="Garamond"/>
        </w:rPr>
        <w:t>k (2012),</w:t>
      </w:r>
    </w:p>
  </w:footnote>
  <w:footnote w:id="3">
    <w:p w14:paraId="0643F246" w14:textId="2BDD0313" w:rsidR="00140EEC" w:rsidRDefault="00140EEC" w:rsidP="00B777A3">
      <w:r w:rsidRPr="00C027F3">
        <w:rPr>
          <w:rStyle w:val="FootnoteReference"/>
          <w:rFonts w:ascii="Garamond" w:hAnsi="Garamond"/>
          <w:sz w:val="20"/>
          <w:szCs w:val="20"/>
        </w:rPr>
        <w:footnoteRef/>
      </w:r>
      <w:r w:rsidRPr="00C027F3">
        <w:rPr>
          <w:rFonts w:ascii="Garamond" w:hAnsi="Garamond"/>
          <w:sz w:val="20"/>
          <w:szCs w:val="20"/>
        </w:rPr>
        <w:t xml:space="preserve"> </w:t>
      </w:r>
      <w:r w:rsidR="00B777A3" w:rsidRPr="00C027F3">
        <w:rPr>
          <w:rFonts w:ascii="Garamond" w:hAnsi="Garamond"/>
          <w:sz w:val="20"/>
          <w:szCs w:val="20"/>
          <w:u w:val="single"/>
        </w:rPr>
        <w:t>Ruehr, S., Keenan, T.F., Williams, C. </w:t>
      </w:r>
      <w:r w:rsidR="00B777A3" w:rsidRPr="00C027F3">
        <w:rPr>
          <w:rFonts w:ascii="Garamond" w:hAnsi="Garamond"/>
          <w:i/>
          <w:iCs/>
          <w:sz w:val="20"/>
          <w:szCs w:val="20"/>
          <w:u w:val="single"/>
        </w:rPr>
        <w:t>et al.</w:t>
      </w:r>
      <w:r w:rsidR="00B777A3" w:rsidRPr="00C027F3">
        <w:rPr>
          <w:rFonts w:ascii="Garamond" w:hAnsi="Garamond"/>
          <w:sz w:val="20"/>
          <w:szCs w:val="20"/>
          <w:u w:val="single"/>
        </w:rPr>
        <w:t> Evidence and attribution of the enhanced land carbon sink. </w:t>
      </w:r>
      <w:r w:rsidR="00B777A3" w:rsidRPr="00C027F3">
        <w:rPr>
          <w:rFonts w:ascii="Garamond" w:hAnsi="Garamond"/>
          <w:i/>
          <w:iCs/>
          <w:sz w:val="20"/>
          <w:szCs w:val="20"/>
          <w:u w:val="single"/>
        </w:rPr>
        <w:t>Nat Rev Earth Environ</w:t>
      </w:r>
      <w:r w:rsidR="00B777A3" w:rsidRPr="00C027F3">
        <w:rPr>
          <w:rFonts w:ascii="Garamond" w:hAnsi="Garamond"/>
          <w:sz w:val="20"/>
          <w:szCs w:val="20"/>
          <w:u w:val="single"/>
        </w:rPr>
        <w:t xml:space="preserve"> 4, 518–534 (2023). </w:t>
      </w:r>
      <w:hyperlink r:id="rId3" w:history="1">
        <w:r w:rsidR="00B777A3" w:rsidRPr="00C027F3">
          <w:rPr>
            <w:rStyle w:val="Hyperlink"/>
            <w:rFonts w:ascii="Garamond" w:hAnsi="Garamond"/>
            <w:sz w:val="20"/>
            <w:szCs w:val="20"/>
          </w:rPr>
          <w:t>https://doi.org/10.1038/s43017-023-00456-3</w:t>
        </w:r>
      </w:hyperlink>
      <w:r w:rsidR="00B777A3">
        <w:rPr>
          <w:rFonts w:ascii="Garamond" w:hAnsi="Garamond"/>
          <w:sz w:val="22"/>
          <w:szCs w:val="22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766EE"/>
    <w:multiLevelType w:val="multilevel"/>
    <w:tmpl w:val="ECDA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5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02"/>
    <w:rsid w:val="00010609"/>
    <w:rsid w:val="000E3C69"/>
    <w:rsid w:val="00140EEC"/>
    <w:rsid w:val="00181573"/>
    <w:rsid w:val="00194122"/>
    <w:rsid w:val="001A4DD6"/>
    <w:rsid w:val="0033684A"/>
    <w:rsid w:val="0034425A"/>
    <w:rsid w:val="003A57A5"/>
    <w:rsid w:val="004D0FBA"/>
    <w:rsid w:val="004D5E61"/>
    <w:rsid w:val="005C7565"/>
    <w:rsid w:val="00600453"/>
    <w:rsid w:val="00674305"/>
    <w:rsid w:val="006D33A4"/>
    <w:rsid w:val="00704C71"/>
    <w:rsid w:val="00757A27"/>
    <w:rsid w:val="00941802"/>
    <w:rsid w:val="009515A7"/>
    <w:rsid w:val="009B7C73"/>
    <w:rsid w:val="00B777A3"/>
    <w:rsid w:val="00C027F3"/>
    <w:rsid w:val="00D81419"/>
    <w:rsid w:val="00E04C82"/>
    <w:rsid w:val="00E702EF"/>
    <w:rsid w:val="00F0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30C3"/>
  <w15:chartTrackingRefBased/>
  <w15:docId w15:val="{F6964636-A494-415A-9FD1-8C9C3732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802"/>
    <w:pPr>
      <w:spacing w:after="0" w:line="252" w:lineRule="auto"/>
    </w:pPr>
    <w:rPr>
      <w:color w:val="404040" w:themeColor="text1" w:themeTint="BF"/>
      <w:sz w:val="28"/>
      <w:szCs w:val="28"/>
      <w:lang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8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8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8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8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8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8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802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1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8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8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8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180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180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802"/>
    <w:rPr>
      <w:color w:val="404040" w:themeColor="text1" w:themeTint="BF"/>
      <w:sz w:val="20"/>
      <w:szCs w:val="20"/>
      <w:lang w:eastAsia="ja-JP"/>
      <w14:ligatures w14:val="standard"/>
    </w:rPr>
  </w:style>
  <w:style w:type="character" w:styleId="FootnoteReference">
    <w:name w:val="footnote reference"/>
    <w:basedOn w:val="DefaultParagraphFont"/>
    <w:uiPriority w:val="99"/>
    <w:semiHidden/>
    <w:unhideWhenUsed/>
    <w:rsid w:val="0094180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418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2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1038/s43017-023-00456-3" TargetMode="External"/><Relationship Id="rId2" Type="http://schemas.openxmlformats.org/officeDocument/2006/relationships/hyperlink" Target="https://link.springer.com/book/10.1007/978-94-007-4159-1" TargetMode="External"/><Relationship Id="rId1" Type="http://schemas.openxmlformats.org/officeDocument/2006/relationships/hyperlink" Target="https://doi.org/10.1007/978-3-319-53845-7_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881A1-2B9D-4D7A-BB30-FADCAB7C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Argenti</dc:creator>
  <cp:keywords/>
  <dc:description/>
  <cp:lastModifiedBy>Karen Argenti</cp:lastModifiedBy>
  <cp:revision>2</cp:revision>
  <cp:lastPrinted>2025-09-25T05:02:00Z</cp:lastPrinted>
  <dcterms:created xsi:type="dcterms:W3CDTF">2025-09-25T05:06:00Z</dcterms:created>
  <dcterms:modified xsi:type="dcterms:W3CDTF">2025-09-25T05:06:00Z</dcterms:modified>
</cp:coreProperties>
</file>